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both"/>
        <w:spacing w:lineRule="auto" w:line="24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/>
    </w:p>
    <w:p>
      <w:pPr>
        <w:pStyle w:val="920"/>
        <w:ind w:left="0"/>
        <w:spacing w:lineRule="auto" w:line="24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Nr zamówienia: .......................</w:t>
      </w:r>
      <w:r/>
    </w:p>
    <w:p>
      <w:pPr>
        <w:jc w:val="both"/>
        <w:spacing w:lineRule="auto" w:line="24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spacing w:lineRule="auto" w:line="240" w:after="0"/>
        <w:rPr>
          <w:bCs/>
          <w:sz w:val="24"/>
          <w:szCs w:val="24"/>
        </w:rPr>
      </w:pPr>
      <w:r>
        <w:rPr>
          <w:bCs/>
          <w:sz w:val="24"/>
          <w:szCs w:val="24"/>
        </w:rPr>
      </w:r>
      <w:r/>
    </w:p>
    <w:p>
      <w:pPr>
        <w:spacing w:lineRule="auto" w:line="240" w:after="0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spacing w:lineRule="auto" w:line="240" w:after="0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spacing w:lineRule="auto" w:line="240" w:after="0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spacing w:lineRule="auto" w:line="240"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spacing w:lineRule="auto" w:line="240"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/>
    </w:p>
    <w:p>
      <w:pPr>
        <w:spacing w:lineRule="auto" w:line="240"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b/>
          <w:bCs/>
          <w:sz w:val="40"/>
          <w:szCs w:val="28"/>
        </w:rPr>
      </w:pPr>
      <w:r>
        <w:rPr>
          <w:rFonts w:ascii="Times New Roman" w:hAnsi="Times New Roman" w:cs="Times New Roman"/>
          <w:b/>
          <w:bCs/>
          <w:sz w:val="40"/>
          <w:szCs w:val="28"/>
        </w:rPr>
        <w:t xml:space="preserve">ZAPYTANIE OFERTOWE</w:t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b/>
          <w:sz w:val="40"/>
          <w:szCs w:val="28"/>
        </w:rPr>
      </w:pPr>
      <w:r>
        <w:rPr>
          <w:rFonts w:ascii="Times New Roman" w:hAnsi="Times New Roman" w:cs="Times New Roman"/>
          <w:b/>
          <w:sz w:val="40"/>
          <w:szCs w:val="28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b/>
          <w:sz w:val="40"/>
          <w:szCs w:val="28"/>
        </w:rPr>
      </w:pPr>
      <w:r>
        <w:rPr>
          <w:rFonts w:ascii="Times New Roman" w:hAnsi="Times New Roman" w:cs="Times New Roman"/>
          <w:b/>
          <w:sz w:val="40"/>
          <w:szCs w:val="28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b/>
          <w:sz w:val="40"/>
          <w:szCs w:val="28"/>
        </w:rPr>
      </w:pPr>
      <w:r>
        <w:rPr>
          <w:rFonts w:ascii="Times New Roman" w:hAnsi="Times New Roman" w:cs="Times New Roman"/>
          <w:b/>
          <w:bCs/>
          <w:sz w:val="40"/>
          <w:szCs w:val="28"/>
        </w:rPr>
        <w:t xml:space="preserve">na świadczenie usług w zakresie poradnictwa protetyczno - higienicznego dla osób </w:t>
      </w:r>
      <w:r>
        <w:rPr>
          <w:rFonts w:ascii="Times New Roman" w:hAnsi="Times New Roman" w:cs="Times New Roman"/>
          <w:b/>
          <w:bCs/>
          <w:sz w:val="40"/>
          <w:szCs w:val="28"/>
        </w:rPr>
        <w:t xml:space="preserve">nie</w:t>
      </w:r>
      <w:r>
        <w:rPr>
          <w:rFonts w:ascii="Times New Roman" w:hAnsi="Times New Roman" w:cs="Times New Roman"/>
          <w:b/>
          <w:bCs/>
          <w:sz w:val="40"/>
          <w:szCs w:val="28"/>
        </w:rPr>
        <w:t xml:space="preserve">samodzielnych na terenie Miasta Ustka</w:t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</w:r>
      <w:r/>
    </w:p>
    <w:p>
      <w:pPr>
        <w:jc w:val="center"/>
        <w:spacing w:lineRule="auto" w:line="240" w:after="0"/>
        <w:tabs>
          <w:tab w:val="left" w:pos="2100" w:leader="none"/>
        </w:tabs>
        <w:rPr>
          <w:rFonts w:ascii="Times New Roman" w:hAnsi="Times New Roman" w:cs="Times New Roman"/>
          <w:sz w:val="32"/>
          <w:u w:val="none"/>
        </w:rPr>
      </w:pPr>
      <w:r>
        <w:rPr>
          <w:rFonts w:ascii="Times New Roman" w:hAnsi="Times New Roman" w:cs="Times New Roman"/>
          <w:sz w:val="32"/>
          <w:szCs w:val="24"/>
          <w:u w:val="none"/>
        </w:rPr>
        <w:t xml:space="preserve">w ramach projektu </w:t>
      </w:r>
      <w:r>
        <w:rPr>
          <w:u w:val="none"/>
        </w:rPr>
      </w:r>
      <w:r/>
    </w:p>
    <w:p>
      <w:pPr>
        <w:jc w:val="both"/>
        <w:spacing w:lineRule="auto" w:line="240" w:after="0"/>
        <w:tabs>
          <w:tab w:val="left" w:pos="2100" w:leader="none"/>
        </w:tabs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 w:eastAsiaTheme="minorHAnsi"/>
          <w:sz w:val="32"/>
          <w:szCs w:val="32"/>
          <w:u w:val="none"/>
        </w:rPr>
        <w:t xml:space="preserve">„</w:t>
      </w:r>
      <w:r>
        <w:rPr>
          <w:rFonts w:ascii="Times New Roman" w:hAnsi="Times New Roman" w:cs="Times New Roman" w:eastAsiaTheme="minorHAnsi"/>
          <w:sz w:val="32"/>
          <w:szCs w:val="32"/>
          <w:u w:val="none"/>
        </w:rPr>
        <w:t xml:space="preserve">Usteckie Centrum Usług Społecznych</w:t>
      </w:r>
      <w:r>
        <w:rPr>
          <w:rFonts w:ascii="Times New Roman" w:hAnsi="Times New Roman" w:cs="Times New Roman" w:eastAsiaTheme="minorHAnsi"/>
          <w:sz w:val="32"/>
          <w:szCs w:val="32"/>
          <w:u w:val="none"/>
        </w:rPr>
        <w:t xml:space="preserve"> II” realizowanego </w:t>
        <w:br/>
        <w:t xml:space="preserve">z Regionalnego Programu Operacyjnego Województwa Pomorskiego na lata 2014 – 2020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spacing w:after="0"/>
        <w:rPr>
          <w:rFonts w:ascii="Times New Roman" w:hAnsi="Times New Roman" w:cs="Times New Roman" w:eastAsia="Times New Roman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 w:eastAsiaTheme="minorHAnsi"/>
          <w:color w:val="000000"/>
          <w:sz w:val="32"/>
        </w:rPr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center"/>
        <w:spacing w:lineRule="auto" w:line="240"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 w:eastAsiaTheme="minorHAnsi"/>
          <w:b/>
          <w:sz w:val="28"/>
          <w:szCs w:val="28"/>
        </w:rPr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center"/>
        <w:spacing w:lineRule="auto" w:line="240"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 w:eastAsiaTheme="minorHAnsi"/>
          <w:b/>
          <w:sz w:val="28"/>
          <w:szCs w:val="28"/>
        </w:rPr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center"/>
        <w:spacing w:lineRule="auto" w:line="240"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 w:eastAsiaTheme="minorHAnsi"/>
          <w:b/>
          <w:sz w:val="28"/>
          <w:szCs w:val="28"/>
        </w:rPr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center"/>
        <w:spacing w:lineRule="auto" w:line="240"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 w:eastAsiaTheme="minorHAnsi"/>
          <w:b/>
          <w:sz w:val="28"/>
          <w:szCs w:val="28"/>
        </w:rPr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center"/>
        <w:spacing w:lineRule="auto" w:line="240"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 w:eastAsiaTheme="minorHAnsi"/>
          <w:b/>
          <w:sz w:val="28"/>
          <w:szCs w:val="28"/>
        </w:rPr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center"/>
        <w:spacing w:lineRule="auto" w:line="240"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 w:eastAsiaTheme="minorHAnsi"/>
          <w:b/>
          <w:sz w:val="28"/>
          <w:szCs w:val="28"/>
        </w:rPr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center"/>
        <w:spacing w:lineRule="auto" w:line="240"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 w:eastAsiaTheme="minorHAnsi"/>
          <w:b/>
          <w:sz w:val="28"/>
          <w:szCs w:val="28"/>
        </w:rPr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center"/>
        <w:spacing w:lineRule="auto" w:line="240"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 w:eastAsiaTheme="minorHAnsi"/>
          <w:b/>
          <w:sz w:val="28"/>
          <w:szCs w:val="28"/>
        </w:rPr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center"/>
        <w:spacing w:lineRule="auto" w:line="240"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 w:eastAsiaTheme="minorHAnsi"/>
          <w:b/>
          <w:sz w:val="28"/>
          <w:szCs w:val="28"/>
        </w:rPr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center"/>
        <w:spacing w:lineRule="auto" w:line="240"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 w:eastAsiaTheme="minorHAnsi"/>
          <w:b/>
          <w:sz w:val="28"/>
          <w:szCs w:val="28"/>
        </w:rPr>
      </w:r>
      <w:r>
        <w:rPr>
          <w:rFonts w:eastAsiaTheme="minorHAnsi"/>
        </w:rPr>
      </w:r>
      <w:r>
        <w:rPr>
          <w:rFonts w:eastAsiaTheme="minorHAnsi"/>
        </w:rPr>
      </w:r>
    </w:p>
    <w:p>
      <w:pPr>
        <w:spacing w:lineRule="auto" w:line="240"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 w:eastAsiaTheme="minorHAnsi"/>
          <w:b/>
          <w:sz w:val="28"/>
          <w:szCs w:val="28"/>
        </w:rPr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center"/>
        <w:spacing w:lineRule="auto" w:line="240"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 w:eastAsiaTheme="minorHAnsi"/>
          <w:b/>
          <w:sz w:val="28"/>
          <w:szCs w:val="28"/>
        </w:rPr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left"/>
        <w:spacing w:lineRule="auto" w:line="240"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 w:eastAsiaTheme="minorHAnsi"/>
          <w:b/>
          <w:sz w:val="28"/>
          <w:szCs w:val="28"/>
        </w:rPr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center"/>
        <w:spacing w:lineRule="auto" w:line="240"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 w:eastAsiaTheme="minorHAnsi"/>
          <w:b/>
          <w:sz w:val="28"/>
          <w:szCs w:val="28"/>
        </w:rPr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center"/>
        <w:spacing w:lineRule="auto" w:line="240"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 w:eastAsiaTheme="minorHAnsi"/>
          <w:b/>
          <w:sz w:val="28"/>
          <w:szCs w:val="28"/>
        </w:rPr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center"/>
        <w:spacing w:lineRule="auto" w:line="240"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 w:eastAsiaTheme="minorHAnsi"/>
          <w:sz w:val="24"/>
          <w:szCs w:val="24"/>
        </w:rPr>
        <w:t xml:space="preserve">Ustka, dnia 22</w:t>
      </w:r>
      <w:r>
        <w:rPr>
          <w:rFonts w:ascii="Times New Roman" w:hAnsi="Times New Roman" w:cs="Times New Roman" w:eastAsiaTheme="minorHAnsi"/>
          <w:sz w:val="24"/>
          <w:szCs w:val="24"/>
        </w:rPr>
        <w:t xml:space="preserve">.</w:t>
      </w:r>
      <w:r>
        <w:rPr>
          <w:rFonts w:ascii="Times New Roman" w:hAnsi="Times New Roman" w:cs="Times New Roman" w:eastAsiaTheme="minorHAnsi"/>
          <w:sz w:val="24"/>
          <w:szCs w:val="24"/>
        </w:rPr>
        <w:t xml:space="preserve">03</w:t>
      </w:r>
      <w:r>
        <w:rPr>
          <w:rFonts w:ascii="Times New Roman" w:hAnsi="Times New Roman" w:cs="Times New Roman" w:eastAsiaTheme="minorHAnsi"/>
          <w:color w:val="000000" w:themeColor="text1"/>
          <w:sz w:val="24"/>
          <w:szCs w:val="24"/>
        </w:rPr>
        <w:t xml:space="preserve">.2022 r.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center"/>
        <w:spacing w:lineRule="auto" w:line="240"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 w:eastAsiaTheme="minorHAnsi"/>
          <w:b/>
          <w:sz w:val="28"/>
          <w:szCs w:val="28"/>
        </w:rPr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20"/>
        <w:ind w:left="0"/>
        <w:spacing w:lineRule="auto" w:line="240"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 w:eastAsiaTheme="minorHAnsi"/>
          <w:bCs/>
          <w:sz w:val="24"/>
          <w:szCs w:val="24"/>
        </w:rPr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spacing w:lineRule="auto" w:line="240" w:after="0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 w:eastAsiaTheme="minorHAnsi"/>
          <w:bCs/>
          <w:sz w:val="24"/>
          <w:szCs w:val="24"/>
        </w:rPr>
        <w:t xml:space="preserve">Centrum Integracji Społecznej w Ustce zaprasza do złożenia oferty w postępowaniu na świadczenie usług w zakresie </w:t>
      </w:r>
      <w:r>
        <w:rPr>
          <w:rFonts w:ascii="Times New Roman" w:hAnsi="Times New Roman" w:cs="Times New Roman" w:eastAsiaTheme="minorHAnsi"/>
          <w:bCs/>
          <w:sz w:val="24"/>
          <w:szCs w:val="28"/>
        </w:rPr>
        <w:t xml:space="preserve"> poradnictwa protetyczno - higienicznego dla osób </w:t>
      </w:r>
      <w:r>
        <w:rPr>
          <w:rFonts w:ascii="Times New Roman" w:hAnsi="Times New Roman" w:cs="Times New Roman" w:eastAsiaTheme="minorHAnsi"/>
          <w:bCs/>
          <w:sz w:val="24"/>
          <w:szCs w:val="28"/>
        </w:rPr>
        <w:t xml:space="preserve">nie</w:t>
      </w:r>
      <w:r>
        <w:rPr>
          <w:rFonts w:ascii="Times New Roman" w:hAnsi="Times New Roman" w:cs="Times New Roman" w:eastAsiaTheme="minorHAnsi"/>
          <w:bCs/>
          <w:sz w:val="24"/>
          <w:szCs w:val="28"/>
        </w:rPr>
        <w:t xml:space="preserve">samodzielnych na terenie Miasta Ustka </w:t>
      </w:r>
      <w:r>
        <w:rPr>
          <w:rFonts w:ascii="Times New Roman" w:hAnsi="Times New Roman" w:cs="Times New Roman" w:eastAsiaTheme="minorHAnsi"/>
          <w:sz w:val="24"/>
          <w:szCs w:val="24"/>
        </w:rPr>
        <w:t xml:space="preserve">w ramach projektu </w:t>
      </w:r>
      <w:r>
        <w:rPr>
          <w:rFonts w:ascii="Times New Roman" w:hAnsi="Times New Roman" w:cs="Times New Roman" w:eastAsiaTheme="minorHAnsi"/>
          <w:sz w:val="24"/>
          <w:szCs w:val="32"/>
          <w:u w:val="none"/>
        </w:rPr>
        <w:t xml:space="preserve">„</w:t>
      </w:r>
      <w:r>
        <w:rPr>
          <w:rFonts w:ascii="Times New Roman" w:hAnsi="Times New Roman" w:cs="Times New Roman" w:eastAsiaTheme="minorHAnsi"/>
          <w:sz w:val="24"/>
          <w:szCs w:val="32"/>
          <w:u w:val="none"/>
        </w:rPr>
        <w:t xml:space="preserve">Usteckie Centrum Usług Społecznych</w:t>
      </w:r>
      <w:r>
        <w:rPr>
          <w:rFonts w:ascii="Times New Roman" w:hAnsi="Times New Roman" w:cs="Times New Roman" w:eastAsiaTheme="minorHAnsi"/>
          <w:sz w:val="24"/>
          <w:szCs w:val="32"/>
          <w:u w:val="none"/>
        </w:rPr>
        <w:t xml:space="preserve"> II” realizowanego z Regionalnego Programu Operacyjnego Województwa Pomorskiego na lata 2014 – 2020 </w:t>
      </w:r>
      <w:r>
        <w:rPr>
          <w:rFonts w:eastAsiaTheme="minorHAnsi"/>
          <w:sz w:val="24"/>
        </w:rPr>
      </w:r>
      <w:r>
        <w:rPr>
          <w:rFonts w:eastAsiaTheme="minorHAnsi"/>
        </w:rPr>
      </w:r>
    </w:p>
    <w:p>
      <w:pPr>
        <w:pStyle w:val="920"/>
        <w:ind w:left="0"/>
        <w:jc w:val="both"/>
        <w:spacing w:lineRule="auto" w:line="240" w:after="0"/>
        <w:tabs>
          <w:tab w:val="left" w:pos="2100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 w:eastAsiaTheme="minorHAnsi"/>
          <w:bCs/>
          <w:sz w:val="24"/>
          <w:szCs w:val="24"/>
        </w:rPr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20"/>
        <w:ind w:left="0"/>
        <w:spacing w:lineRule="auto" w:line="240"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 w:eastAsiaTheme="minorHAnsi"/>
          <w:b/>
          <w:bCs/>
          <w:sz w:val="24"/>
          <w:szCs w:val="24"/>
        </w:rPr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20"/>
        <w:ind w:left="0"/>
        <w:spacing w:lineRule="auto" w:line="240"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 w:eastAsiaTheme="minorHAnsi"/>
          <w:b/>
          <w:bCs/>
          <w:sz w:val="24"/>
          <w:szCs w:val="24"/>
        </w:rPr>
        <w:t xml:space="preserve">I. DANE ZAMAWIAJĄCEGO: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Theme="minorHAnsi"/>
          <w:sz w:val="24"/>
          <w:szCs w:val="24"/>
        </w:rPr>
        <w:t xml:space="preserve">Nazwa:</w:t>
      </w:r>
      <w:r>
        <w:rPr>
          <w:rFonts w:ascii="Times New Roman" w:hAnsi="Times New Roman" w:cs="Times New Roman" w:eastAsiaTheme="minorHAnsi"/>
          <w:sz w:val="24"/>
          <w:szCs w:val="24"/>
        </w:rPr>
        <w:t xml:space="preserve"> Centrum Integracji Społecznej w Ustce                                                                          Adres siedziby: ul. Wiejska 10, 76-2870 Ustka                                                          Reprezentowane przez Wojciecha Błaszczyk z upoważnienia Kierownika CIS w Ustce</w:t>
      </w:r>
      <w:r>
        <w:rPr>
          <w:rFonts w:eastAsiaTheme="minorHAnsi"/>
        </w:rPr>
      </w:r>
    </w:p>
    <w:p>
      <w:pPr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Theme="minorHAnsi"/>
          <w:sz w:val="24"/>
          <w:szCs w:val="24"/>
        </w:rPr>
        <w:t xml:space="preserve">telefon: 793 824 711, 881 415 208 e-mail: cis@cis.ustka.pl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                                                          </w:t>
      </w:r>
      <w:r>
        <w:rPr>
          <w:rFonts w:ascii="Times New Roman" w:hAnsi="Times New Roman" w:cs="Times New Roman" w:eastAsiaTheme="minorHAnsi"/>
          <w:sz w:val="24"/>
          <w:szCs w:val="24"/>
        </w:rPr>
        <w:t xml:space="preserve">adres strony internetowej: </w:t>
      </w:r>
      <w:hyperlink r:id="rId12" w:tooltip="http://www.cis.ustka.pl" w:history="1">
        <w:r>
          <w:rPr>
            <w:rStyle w:val="923"/>
            <w:rFonts w:ascii="Times New Roman" w:hAnsi="Times New Roman" w:cs="Times New Roman" w:eastAsiaTheme="minorHAnsi"/>
            <w:sz w:val="24"/>
            <w:szCs w:val="24"/>
          </w:rPr>
          <w:t xml:space="preserve">www.cis.ustka.pl</w:t>
        </w:r>
      </w:hyperlink>
      <w:r>
        <w:rPr>
          <w:rFonts w:ascii="Times New Roman" w:hAnsi="Times New Roman" w:cs="Times New Roman" w:eastAsiaTheme="minorHAnsi"/>
          <w:sz w:val="24"/>
          <w:szCs w:val="24"/>
        </w:rPr>
        <w:t xml:space="preserve">                                                                       Godziny pracy Zamawiającego: od poniedziałku do piątku w godz. od 7:30 do godz. 15:30.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20"/>
        <w:ind w:left="0"/>
        <w:jc w:val="both"/>
        <w:spacing w:lineRule="auto" w:line="240"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 w:eastAsiaTheme="minorHAnsi"/>
          <w:b/>
          <w:bCs/>
          <w:sz w:val="24"/>
          <w:szCs w:val="24"/>
        </w:rPr>
        <w:t xml:space="preserve">II. TRYB UDZIELENIA ZAMÓWIENIA: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33"/>
        <w:jc w:val="both"/>
        <w:spacing w:after="0"/>
      </w:pPr>
      <w:r>
        <w:rPr>
          <w:rFonts w:eastAsiaTheme="minorHAnsi"/>
        </w:rPr>
        <w:t xml:space="preserve">Niniejsze zapytanie ofertowe nie jest prowadzone w oparciu o przepisy ustawy z dnia </w:t>
      </w:r>
      <w:r>
        <w:rPr>
          <w:rFonts w:eastAsiaTheme="minorHAnsi"/>
        </w:rPr>
        <w:br/>
        <w:t xml:space="preserve">11 września 2019  roku – Prawo zamówień publicznych.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33"/>
        <w:jc w:val="both"/>
        <w:spacing w:after="0"/>
        <w:rPr>
          <w:color w:val="000000"/>
        </w:rPr>
      </w:pPr>
      <w:r>
        <w:rPr>
          <w:rFonts w:eastAsiaTheme="minorHAnsi"/>
          <w:color w:val="000000" w:themeColor="text1"/>
        </w:rPr>
        <w:t xml:space="preserve">Postępowanie o udzielenie zamówienia prowadzone jest w oparciu o rozeznanie rynku określone w „Wytycznych w zakresie kwalifikowalno</w:t>
      </w:r>
      <w:r>
        <w:rPr>
          <w:rFonts w:eastAsiaTheme="minorHAnsi"/>
          <w:color w:val="000000" w:themeColor="text1"/>
        </w:rPr>
        <w:t xml:space="preserve">ści wydatków w ramach Europejskiego Funduszu Rozwoju Regionalnego, Europejskiego Funduszu Społecznego oraz Funduszu Spójności na lata 2014 – 2020”.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33"/>
        <w:jc w:val="both"/>
        <w:spacing w:after="0"/>
        <w:rPr>
          <w:color w:val="000000"/>
        </w:rPr>
      </w:pPr>
      <w:r>
        <w:rPr>
          <w:rFonts w:eastAsiaTheme="minorHAnsi"/>
          <w:color w:val="000000" w:themeColor="text1"/>
          <w:highlight w:val="none"/>
        </w:rPr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33"/>
        <w:jc w:val="both"/>
        <w:spacing w:after="0"/>
        <w:rPr>
          <w:color w:val="000000"/>
          <w:highlight w:val="none"/>
        </w:rPr>
      </w:pPr>
      <w:r>
        <w:rPr>
          <w:rFonts w:eastAsiaTheme="minorHAnsi"/>
          <w:color w:val="000000" w:themeColor="text1"/>
        </w:rPr>
        <w:t xml:space="preserve">Zapytanie ofertowe zostało upublicznione na stronie </w:t>
      </w:r>
      <w:r>
        <w:rPr>
          <w:rFonts w:eastAsiaTheme="minorHAnsi"/>
          <w:color w:val="000000" w:themeColor="text1"/>
        </w:rPr>
        <w:t xml:space="preserve">http://cis.ustka.pl/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20"/>
        <w:ind w:left="0"/>
        <w:jc w:val="both"/>
        <w:spacing w:lineRule="auto" w:line="240"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 w:eastAsiaTheme="minorHAnsi"/>
          <w:b/>
          <w:bCs/>
          <w:sz w:val="24"/>
          <w:szCs w:val="24"/>
        </w:rPr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20"/>
        <w:ind w:left="0"/>
        <w:jc w:val="both"/>
        <w:spacing w:lineRule="auto" w:line="240"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 w:eastAsiaTheme="minorHAnsi"/>
          <w:b/>
          <w:bCs/>
          <w:sz w:val="24"/>
          <w:szCs w:val="24"/>
        </w:rPr>
        <w:t xml:space="preserve">III. KODY WSPÓLNEGO SŁOWNIKA ZAMÓWIEŃ CPV: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20"/>
        <w:ind w:left="0"/>
        <w:jc w:val="both"/>
        <w:spacing w:lineRule="auto" w:line="240"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 w:eastAsiaTheme="minorHAnsi"/>
          <w:b/>
          <w:bCs/>
          <w:sz w:val="24"/>
          <w:szCs w:val="24"/>
        </w:rPr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20"/>
        <w:ind w:left="0"/>
        <w:jc w:val="both"/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Theme="minorHAnsi"/>
          <w:sz w:val="24"/>
          <w:szCs w:val="24"/>
        </w:rPr>
        <w:t xml:space="preserve">KOD CPV: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20"/>
        <w:ind w:left="0"/>
        <w:jc w:val="both"/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Theme="minorHAnsi"/>
          <w:sz w:val="24"/>
          <w:szCs w:val="24"/>
        </w:rPr>
      </w:r>
      <w:r>
        <w:rPr>
          <w:rFonts w:eastAsiaTheme="minorHAnsi"/>
        </w:rPr>
      </w:r>
      <w:r>
        <w:rPr>
          <w:rFonts w:eastAsiaTheme="minorHAnsi"/>
        </w:rPr>
      </w:r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eastAsiaTheme="minorHAnsi"/>
        </w:rPr>
      </w:r>
      <w:hyperlink r:id="rId13" w:tooltip="https://www.portalzp.pl/kody-cpv/szczegoly/uslugi-stomatologiczne-i-podobne-9013" w:history="1">
        <w:r>
          <w:rPr>
            <w:rStyle w:val="923"/>
            <w:rFonts w:ascii="Times New Roman" w:hAnsi="Times New Roman" w:cs="Times New Roman" w:eastAsia="Times New Roman" w:eastAsiaTheme="minorHAnsi"/>
            <w:color w:val="0066CC"/>
            <w:sz w:val="24"/>
            <w:u w:val="single"/>
          </w:rPr>
          <w:t xml:space="preserve">85130000-9</w:t>
        </w:r>
      </w:hyperlink>
      <w:r>
        <w:rPr>
          <w:rFonts w:eastAsiaTheme="minorHAnsi"/>
        </w:rPr>
        <w:t xml:space="preserve">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eastAsiaTheme="minorHAnsi"/>
        </w:rPr>
        <w:t xml:space="preserve">Usługi stomatologiczne i podobne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eastAsiaTheme="minorHAnsi"/>
        </w:rPr>
      </w:r>
      <w:hyperlink r:id="rId14" w:tooltip="https://www.portalzp.pl/kody-cpv/szczegoly/rozne-uslugi-w-dziedzinie-zdrowia-9017" w:history="1">
        <w:r>
          <w:rPr>
            <w:rStyle w:val="923"/>
            <w:rFonts w:ascii="Times New Roman" w:hAnsi="Times New Roman" w:cs="Times New Roman" w:eastAsia="Times New Roman" w:eastAsiaTheme="minorHAnsi"/>
            <w:color w:val="0066CC"/>
            <w:sz w:val="24"/>
            <w:u w:val="single"/>
          </w:rPr>
          <w:t xml:space="preserve">85140000-2</w:t>
        </w:r>
      </w:hyperlink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20"/>
        <w:ind w:left="0" w:right="0" w:firstLine="0"/>
        <w:jc w:val="both"/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Theme="minorHAnsi"/>
          <w:sz w:val="24"/>
          <w:szCs w:val="24"/>
        </w:rPr>
      </w:r>
      <w:r>
        <w:rPr>
          <w:rFonts w:eastAsiaTheme="minorHAnsi"/>
        </w:rPr>
        <w:t xml:space="preserve">Różne usługi w dziedzinie zdrowia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20"/>
        <w:ind w:left="0"/>
        <w:jc w:val="both"/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Theme="minorHAnsi"/>
          <w:sz w:val="24"/>
          <w:szCs w:val="24"/>
        </w:rPr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20"/>
        <w:ind w:left="0"/>
        <w:jc w:val="both"/>
        <w:spacing w:lineRule="auto" w:line="240"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 w:eastAsiaTheme="minorHAnsi"/>
          <w:b/>
          <w:bCs/>
          <w:sz w:val="24"/>
          <w:szCs w:val="24"/>
        </w:rPr>
        <w:t xml:space="preserve">IV. OPIS PRZEDMIOTU ZAMÓWIENIA: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20"/>
        <w:numPr>
          <w:ilvl w:val="0"/>
          <w:numId w:val="18"/>
        </w:numPr>
        <w:ind w:left="0" w:firstLine="0"/>
        <w:jc w:val="both"/>
        <w:spacing w:lineRule="auto" w:line="240" w:after="0"/>
        <w:tabs>
          <w:tab w:val="left" w:pos="0" w:leader="none"/>
          <w:tab w:val="left" w:pos="283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Theme="minorHAnsi"/>
          <w:sz w:val="24"/>
          <w:szCs w:val="24"/>
        </w:rPr>
        <w:t xml:space="preserve">Przedmiotem zamówienia jest wykonanie usługi w zakresie poradnictwa protetyczno - higienicznego dla </w:t>
      </w:r>
      <w:r>
        <w:rPr>
          <w:rFonts w:ascii="Times New Roman" w:hAnsi="Times New Roman" w:eastAsiaTheme="minorHAnsi"/>
          <w:bCs/>
          <w:sz w:val="24"/>
          <w:szCs w:val="24"/>
        </w:rPr>
        <w:t xml:space="preserve">osób niesamodzielnych na terenie Mia</w:t>
      </w:r>
      <w:r>
        <w:rPr>
          <w:rFonts w:ascii="Times New Roman" w:hAnsi="Times New Roman" w:eastAsiaTheme="minorHAnsi"/>
          <w:bCs/>
          <w:sz w:val="24"/>
          <w:szCs w:val="24"/>
        </w:rPr>
        <w:t xml:space="preserve">s</w:t>
      </w:r>
      <w:r>
        <w:rPr>
          <w:rFonts w:ascii="Times New Roman" w:hAnsi="Times New Roman" w:eastAsiaTheme="minorHAnsi"/>
          <w:bCs/>
          <w:sz w:val="24"/>
          <w:szCs w:val="24"/>
        </w:rPr>
        <w:t xml:space="preserve">ta Ustka (w pomieszczeniach UCUS) </w:t>
      </w:r>
      <w:r>
        <w:rPr>
          <w:rFonts w:ascii="Times New Roman" w:hAnsi="Times New Roman" w:cs="Times New Roman" w:eastAsiaTheme="minorHAnsi"/>
          <w:sz w:val="24"/>
          <w:szCs w:val="24"/>
        </w:rPr>
        <w:t xml:space="preserve">w ilości maksymalnej do 115 godzin zegarowych w okresie III.2022 – VI.2023.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spacing w:lineRule="auto" w:line="240" w:after="0"/>
        <w:tabs>
          <w:tab w:val="left" w:pos="210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Theme="minorHAnsi"/>
          <w:sz w:val="24"/>
          <w:szCs w:val="24"/>
        </w:rPr>
        <w:t xml:space="preserve">2. </w:t>
      </w:r>
      <w:r>
        <w:rPr>
          <w:rFonts w:ascii="Times New Roman" w:hAnsi="Times New Roman" w:cs="Times New Roman" w:eastAsia="Times New Roman" w:eastAsiaTheme="minorHAnsi"/>
          <w:b w:val="false"/>
          <w:bCs/>
          <w:color w:val="000000" w:themeColor="text1"/>
          <w:sz w:val="24"/>
          <w:u w:val="none"/>
        </w:rPr>
        <w:t xml:space="preserve">Poradnictwo protetyczno – higieniczne dla osób niesamodzielnych</w:t>
      </w:r>
      <w:r>
        <w:rPr>
          <w:rFonts w:ascii="Times New Roman" w:hAnsi="Times New Roman" w:cs="Times New Roman" w:eastAsia="Times New Roman" w:eastAsiaTheme="minorHAnsi"/>
          <w:b w:val="false"/>
          <w:color w:val="000000" w:themeColor="text1"/>
          <w:sz w:val="24"/>
          <w:u w:val="none"/>
        </w:rPr>
        <w:t xml:space="preserve"> </w:t>
      </w:r>
      <w:r>
        <w:rPr>
          <w:rFonts w:ascii="Times New Roman" w:hAnsi="Times New Roman" w:cs="Times New Roman" w:eastAsia="Times New Roman" w:eastAsiaTheme="minorHAnsi"/>
          <w:b w:val="false"/>
          <w:color w:val="000000" w:themeColor="text1"/>
          <w:sz w:val="24"/>
          <w:u w:val="none"/>
        </w:rPr>
        <w:t xml:space="preserve">wpłynąć</w:t>
      </w:r>
      <w:r>
        <w:rPr>
          <w:rFonts w:ascii="Times New Roman" w:hAnsi="Times New Roman" w:cs="Times New Roman" w:eastAsia="Times New Roman" w:eastAsiaTheme="minorHAnsi"/>
          <w:b w:val="false"/>
          <w:color w:val="000000" w:themeColor="text1"/>
          <w:sz w:val="24"/>
          <w:u w:val="none"/>
        </w:rPr>
        <w:t xml:space="preserve"> </w:t>
      </w:r>
      <w:r>
        <w:rPr>
          <w:rFonts w:ascii="Times New Roman" w:hAnsi="Times New Roman" w:cs="Times New Roman" w:eastAsia="Times New Roman" w:eastAsiaTheme="minorHAnsi"/>
          <w:b w:val="false"/>
          <w:color w:val="000000" w:themeColor="text1"/>
          <w:sz w:val="24"/>
          <w:u w:val="none"/>
        </w:rPr>
        <w:t xml:space="preserve">ma przede wszystkim na poprawę funkcjonowania os. szczególnie starszych, z niepełnosprawnościami, samotnych etc. poprzez konsultacje indywidualne ze specjalistą w dziedzinie prote</w:t>
      </w:r>
      <w:r>
        <w:rPr>
          <w:rFonts w:ascii="Times New Roman" w:hAnsi="Times New Roman" w:cs="Times New Roman" w:eastAsia="Times New Roman" w:eastAsiaTheme="minorHAnsi"/>
          <w:b w:val="false"/>
          <w:color w:val="000000" w:themeColor="text1"/>
          <w:sz w:val="24"/>
          <w:u w:val="none"/>
        </w:rPr>
        <w:t xml:space="preserve">tyki/stomatologii/ higieny oraz ewentualne zastosowanie/wdrożenie działań poprawiających stan protez, dziąseł, jamy ustnej. Zaplanowano konsultację, działania higieniczno-protetyczne za pomocą odpowiednich narzędzi, środków higienicznych, leczniczych etc. </w:t>
      </w:r>
      <w:r>
        <w:rPr>
          <w:rFonts w:ascii="Times New Roman" w:hAnsi="Times New Roman" w:cs="Times New Roman" w:eastAsia="Times New Roman" w:eastAsiaTheme="minorHAnsi"/>
          <w:b w:val="false"/>
          <w:color w:val="000000" w:themeColor="text1"/>
          <w:sz w:val="24"/>
          <w:u w:val="none"/>
        </w:rPr>
        <w:t xml:space="preserve">w miejscu ich zamieszkania lub</w:t>
      </w:r>
      <w:r>
        <w:rPr>
          <w:rFonts w:ascii="Times New Roman" w:hAnsi="Times New Roman" w:cs="Times New Roman" w:eastAsia="Times New Roman" w:eastAsiaTheme="minorHAnsi"/>
          <w:b w:val="false"/>
          <w:color w:val="000000" w:themeColor="text1"/>
          <w:sz w:val="24"/>
          <w:u w:val="none"/>
        </w:rPr>
        <w:t xml:space="preserve">/</w:t>
      </w:r>
      <w:r>
        <w:rPr>
          <w:rFonts w:ascii="Times New Roman" w:hAnsi="Times New Roman" w:cs="Times New Roman" w:eastAsia="Times New Roman" w:eastAsiaTheme="minorHAnsi"/>
          <w:b w:val="false"/>
          <w:color w:val="000000" w:themeColor="text1"/>
          <w:sz w:val="24"/>
          <w:u w:val="none"/>
        </w:rPr>
        <w:t xml:space="preserve">i w gabinecie Wykonawcy</w:t>
      </w:r>
      <w:r>
        <w:rPr>
          <w:rFonts w:ascii="Times New Roman" w:hAnsi="Times New Roman" w:cs="Times New Roman" w:eastAsia="Times New Roman" w:eastAsiaTheme="minorHAnsi"/>
          <w:b w:val="false"/>
          <w:color w:val="000000" w:themeColor="text1"/>
          <w:sz w:val="24"/>
          <w:u w:val="none"/>
        </w:rPr>
        <w:t xml:space="preserve">.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spacing w:lineRule="auto" w:line="2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Theme="minorHAnsi"/>
          <w:sz w:val="24"/>
          <w:szCs w:val="24"/>
        </w:rPr>
        <w:t xml:space="preserve">3. Przedmiot umowy wykonywany będzie w wymiarze określanym przez Zamawiającego. Podane ilości godzin wykonywania mają charakter szacunkowy. Wyk</w:t>
      </w:r>
      <w:r>
        <w:rPr>
          <w:rFonts w:ascii="Times New Roman" w:hAnsi="Times New Roman" w:eastAsiaTheme="minorHAnsi"/>
          <w:sz w:val="24"/>
          <w:szCs w:val="24"/>
        </w:rPr>
        <w:t xml:space="preserve">onawcy nie przysługują w stosunku do Zamawiającego roszczenia w przypadku wykonywania przedmiotu zamówienia w mniejszym wymiarze. Zamawiający zastrzega również możliwość zmiany zakładanej ilości godzin wykonywania przedmiotu umowy w poszczególnych latach.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spacing w:lineRule="auto" w:line="2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Theme="minorHAnsi"/>
          <w:sz w:val="24"/>
          <w:szCs w:val="24"/>
        </w:rPr>
      </w:r>
      <w:r>
        <w:rPr>
          <w:rFonts w:eastAsiaTheme="minorHAnsi"/>
        </w:rPr>
      </w:r>
      <w:r>
        <w:rPr>
          <w:rFonts w:eastAsiaTheme="minorHAnsi"/>
        </w:rPr>
      </w:r>
    </w:p>
    <w:p>
      <w:pPr>
        <w:spacing w:lineRule="auto" w:line="240"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 w:eastAsiaTheme="minorHAnsi"/>
          <w:b/>
          <w:bCs/>
          <w:sz w:val="24"/>
          <w:szCs w:val="24"/>
        </w:rPr>
        <w:t xml:space="preserve">V. INFORMACJE DODATKOWE DOTYCZĄCE PRZEDMIOTU ZAMÓWIENIA: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20"/>
        <w:numPr>
          <w:ilvl w:val="0"/>
          <w:numId w:val="1"/>
        </w:numPr>
        <w:jc w:val="both"/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Theme="minorHAnsi"/>
          <w:sz w:val="24"/>
          <w:szCs w:val="24"/>
        </w:rPr>
        <w:t xml:space="preserve">Zamawiający zastrzega sobie możliwość przesunięcia terminu realizacji zamówienia na skutek wystąpienia okoliczności niezależnych i niezawinionych przez Zamawiającego.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20"/>
        <w:numPr>
          <w:ilvl w:val="0"/>
          <w:numId w:val="1"/>
        </w:numPr>
        <w:jc w:val="both"/>
        <w:spacing w:lineRule="auto" w:line="240"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 w:eastAsiaTheme="minorHAnsi"/>
          <w:sz w:val="24"/>
          <w:szCs w:val="24"/>
        </w:rPr>
        <w:t xml:space="preserve">Szczegółowe zasady wprowadzania zmian dotyczących przedmiotu umowy i sposobu jego wykonania zostały uregulowane w treści wzoru umowy – </w:t>
      </w:r>
      <w:r>
        <w:rPr>
          <w:rFonts w:ascii="Times New Roman" w:hAnsi="Times New Roman" w:cs="Times New Roman" w:eastAsiaTheme="minorHAnsi"/>
          <w:sz w:val="24"/>
          <w:szCs w:val="24"/>
          <w:u w:val="single"/>
        </w:rPr>
        <w:t xml:space="preserve">Załącznik nr 5 do niniejszego zapytania ofertowego. 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20"/>
        <w:numPr>
          <w:ilvl w:val="0"/>
          <w:numId w:val="1"/>
        </w:numPr>
        <w:jc w:val="both"/>
        <w:spacing w:lineRule="auto" w:line="240" w:after="0"/>
        <w:tabs>
          <w:tab w:val="left" w:pos="210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Theme="minorHAnsi"/>
          <w:sz w:val="24"/>
          <w:szCs w:val="24"/>
        </w:rPr>
        <w:t xml:space="preserve">Wykonawca zobowiązany jest do przestrzegania Zasady równości szans i niedyskryminacji, w tym dostępności dla osób z niepełnosprawnościami oraz zasady równości szans kobiet                 i mężczyzn.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20"/>
        <w:numPr>
          <w:ilvl w:val="0"/>
          <w:numId w:val="1"/>
        </w:numPr>
        <w:jc w:val="both"/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Theme="minorHAnsi"/>
          <w:sz w:val="24"/>
          <w:szCs w:val="24"/>
        </w:rPr>
        <w:t xml:space="preserve">Wykonawca jest  zobowiązany do wyznaczenia przedstawiciela utrzymującego stały kontakt z koordynatorem projektu w trakcie realizacji zamówienia.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20"/>
        <w:ind w:left="-426" w:firstLine="426"/>
        <w:jc w:val="both"/>
        <w:spacing w:lineRule="auto" w:line="240" w:after="0"/>
        <w:rPr>
          <w:rFonts w:ascii="Arial Narrow" w:hAnsi="Arial Narrow" w:cs="Arial Narrow"/>
          <w:b/>
        </w:rPr>
      </w:pPr>
      <w:r>
        <w:rPr>
          <w:rFonts w:ascii="Arial Narrow" w:hAnsi="Arial Narrow" w:cs="Arial Narrow" w:eastAsiaTheme="minorHAnsi"/>
          <w:b/>
        </w:rPr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20"/>
        <w:ind w:left="-426" w:firstLine="426"/>
        <w:jc w:val="both"/>
        <w:spacing w:lineRule="auto" w:line="240"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eastAsiaTheme="minorHAnsi"/>
          <w:b/>
          <w:sz w:val="24"/>
          <w:szCs w:val="24"/>
        </w:rPr>
        <w:t xml:space="preserve">VI. TERMIN REALIZACJI ZAMÓWIENIA: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20"/>
        <w:ind w:left="-426" w:firstLine="426"/>
        <w:jc w:val="both"/>
        <w:spacing w:lineRule="auto" w:line="240" w:after="0"/>
        <w:rPr>
          <w:rFonts w:ascii="Times New Roman" w:hAnsi="Times New Roman" w:cs="Times New Roman"/>
          <w:b/>
          <w:sz w:val="10"/>
          <w:szCs w:val="10"/>
        </w:rPr>
      </w:pPr>
      <w:r>
        <w:rPr>
          <w:rFonts w:ascii="Times New Roman" w:hAnsi="Times New Roman" w:cs="Times New Roman" w:eastAsiaTheme="minorHAnsi"/>
          <w:b/>
          <w:sz w:val="10"/>
          <w:szCs w:val="10"/>
        </w:rPr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spacing w:lineRule="auto" w:line="240" w:after="0"/>
        <w:tabs>
          <w:tab w:val="left" w:pos="2100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 w:eastAsiaTheme="minorHAnsi"/>
          <w:bCs/>
          <w:sz w:val="24"/>
          <w:szCs w:val="24"/>
        </w:rPr>
        <w:t xml:space="preserve">Zamówienie realizowane będzie od dnia podpisania umowy do dnia 30 czerwca 2023 roku.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spacing w:lineRule="auto" w:line="240" w:after="0"/>
        <w:shd w:val="clear" w:fill="FFFFFF" w:color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 w:eastAsiaTheme="minorHAnsi"/>
          <w:b/>
          <w:color w:val="000000"/>
          <w:sz w:val="24"/>
          <w:szCs w:val="24"/>
        </w:rPr>
      </w:r>
      <w:r>
        <w:rPr>
          <w:rFonts w:eastAsiaTheme="minorHAnsi"/>
        </w:rPr>
      </w:r>
      <w:r>
        <w:rPr>
          <w:rFonts w:eastAsiaTheme="minorHAnsi"/>
        </w:rPr>
      </w:r>
    </w:p>
    <w:p>
      <w:pPr>
        <w:spacing w:lineRule="auto" w:line="240" w:after="0"/>
        <w:shd w:val="clear" w:fill="FFFFFF" w:color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 w:eastAsiaTheme="minorHAnsi"/>
          <w:b/>
          <w:color w:val="000000" w:themeColor="text1"/>
          <w:sz w:val="24"/>
          <w:szCs w:val="24"/>
        </w:rPr>
        <w:t xml:space="preserve">VII.</w:t>
      </w:r>
      <w:r>
        <w:rPr>
          <w:rFonts w:ascii="Times New Roman" w:hAnsi="Times New Roman" w:cs="Times New Roman" w:eastAsiaTheme="minorHAnsi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HAnsi"/>
          <w:b/>
          <w:bCs/>
          <w:color w:val="000000" w:themeColor="text1"/>
          <w:sz w:val="24"/>
          <w:szCs w:val="24"/>
        </w:rPr>
        <w:t xml:space="preserve">WARUNKI UDZIAŁU W POSTĘPOWANIU ORAZ OPIS SPOSOBU DOKONYWANIA OCENY ICH SPEŁNIENIA: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33"/>
        <w:jc w:val="both"/>
        <w:spacing w:after="0"/>
      </w:pPr>
      <w:r>
        <w:rPr>
          <w:rFonts w:eastAsiaTheme="minorHAnsi"/>
        </w:rPr>
        <w:t xml:space="preserve">1. O udzielenie zamówienia mogą ubiegać się Wykonawcy, którzy spełniają następujące warunki udziału w postępowaniu: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33"/>
        <w:numPr>
          <w:ilvl w:val="0"/>
          <w:numId w:val="17"/>
        </w:numPr>
        <w:jc w:val="both"/>
      </w:pPr>
      <w:r>
        <w:rPr>
          <w:rFonts w:eastAsiaTheme="minorHAnsi"/>
          <w:bCs/>
        </w:rPr>
        <w:t xml:space="preserve">wykształcenie</w:t>
      </w:r>
      <w:r>
        <w:rPr>
          <w:rFonts w:eastAsiaTheme="minorHAnsi"/>
          <w:b/>
        </w:rPr>
        <w:t xml:space="preserve">:</w:t>
      </w:r>
      <w:r>
        <w:rPr>
          <w:rFonts w:ascii="Times New Roman" w:hAnsi="Times New Roman" w:cs="Times New Roman" w:eastAsia="Times New Roman" w:eastAsiaTheme="minorHAnsi"/>
          <w:bCs/>
          <w:sz w:val="24"/>
        </w:rPr>
        <w:t xml:space="preserve"> wyższe kierunkowe z zakresu protetyki/stomatologii</w:t>
      </w:r>
      <w:r>
        <w:rPr>
          <w:rFonts w:ascii="Times New Roman" w:hAnsi="Times New Roman" w:cs="Times New Roman" w:eastAsia="Times New Roman" w:eastAsiaTheme="minorHAnsi"/>
          <w:bCs/>
          <w:sz w:val="24"/>
        </w:rPr>
        <w:t xml:space="preserve">/ higieny jamy ustnej,</w:t>
      </w:r>
      <w:r>
        <w:rPr>
          <w:rFonts w:ascii="Times New Roman" w:hAnsi="Times New Roman" w:cs="Times New Roman" w:eastAsia="Times New Roman" w:eastAsiaTheme="minorHAnsi"/>
          <w:bCs/>
          <w:sz w:val="24"/>
        </w:rPr>
        <w:t xml:space="preserve">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33"/>
        <w:numPr>
          <w:ilvl w:val="0"/>
          <w:numId w:val="17"/>
        </w:numPr>
        <w:jc w:val="both"/>
        <w:rPr>
          <w:sz w:val="24"/>
        </w:rPr>
      </w:pPr>
      <w:r>
        <w:rPr>
          <w:rFonts w:eastAsiaTheme="minorHAnsi"/>
          <w:sz w:val="24"/>
          <w:highlight w:val="none"/>
        </w:rPr>
      </w:r>
      <w:r>
        <w:rPr>
          <w:rFonts w:eastAsiaTheme="minorHAnsi"/>
          <w:bCs/>
          <w:sz w:val="24"/>
        </w:rPr>
        <w:t xml:space="preserve">minimum 1 rok doświadczenia w dziedzinie protetyki/higieny jamy ustnej/stomatologii lub 10 godzin przeprowadzonego wsparcia w ww. zakresie,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33"/>
        <w:numPr>
          <w:ilvl w:val="0"/>
          <w:numId w:val="17"/>
        </w:numPr>
        <w:jc w:val="both"/>
      </w:pPr>
      <w:r>
        <w:rPr>
          <w:rFonts w:eastAsiaTheme="minorHAnsi"/>
        </w:rPr>
        <w:t xml:space="preserve">osoba dyspozycyjna,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33"/>
        <w:numPr>
          <w:ilvl w:val="0"/>
          <w:numId w:val="17"/>
        </w:numPr>
        <w:jc w:val="both"/>
      </w:pPr>
      <w:r>
        <w:rPr>
          <w:rFonts w:eastAsiaTheme="minorHAnsi"/>
        </w:rPr>
        <w:t xml:space="preserve">mile widziane prawo jazdy kat. B. 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33"/>
        <w:jc w:val="both"/>
      </w:pPr>
      <w:r>
        <w:rPr>
          <w:rFonts w:eastAsiaTheme="minorHAnsi"/>
        </w:rPr>
        <w:t xml:space="preserve">W przypadku, gdy Wykonawca jest osobą fizyczną i sam zamierza wykonać przedmiot zamówienia, wymagania znajdują zastosowanie do jego osoby. </w:t>
      </w:r>
      <w:r>
        <w:rPr>
          <w:rFonts w:eastAsiaTheme="minorHAnsi"/>
        </w:rPr>
        <w:t xml:space="preserve">Zakres wsparcia i wymiar godzinowy usługi będzie określany indywidualnie z uczestnikiem (osobą niesamodzielną) lub rodziną, a także z Zamawiającym. Wykonawca będzie zobowiązany do prowadzenia </w:t>
      </w:r>
      <w:r>
        <w:rPr>
          <w:rFonts w:eastAsiaTheme="minorHAnsi"/>
        </w:rPr>
        <w:t xml:space="preserve">dokumentacji w trakcie realizacji usługi, m.in. karty indywidualnej konsultacji, oceny/ewaluacji wsparcia, ewidencji godzin oraz innych, wynikających z charakteru świadczonego poradnictwa.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33"/>
        <w:jc w:val="both"/>
      </w:pPr>
      <w:r>
        <w:rPr>
          <w:rFonts w:eastAsiaTheme="minorHAnsi"/>
        </w:rPr>
        <w:t xml:space="preserve">2. Opis sposobu dokonania oceny spełnienia warunków udziału w postępowaniu.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spacing w:lineRule="auto" w:line="240" w:after="0"/>
        <w:shd w:val="clear" w:fill="FFFFFF" w:color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 w:eastAsiaTheme="minorHAnsi"/>
          <w:sz w:val="24"/>
          <w:szCs w:val="24"/>
        </w:rPr>
        <w:t xml:space="preserve">Podstawę do oceny w/w warunków będzie stanowiło przedłożone przez Wykonawcę oświadczenie, które zostało dołączone do Formularza oferty stanowiącego </w:t>
      </w:r>
      <w:r>
        <w:rPr>
          <w:rFonts w:ascii="Times New Roman" w:hAnsi="Times New Roman" w:cs="Times New Roman" w:eastAsiaTheme="minorHAnsi"/>
          <w:sz w:val="24"/>
          <w:szCs w:val="24"/>
          <w:u w:val="single"/>
        </w:rPr>
        <w:t xml:space="preserve">Załącznik nr 2 do niniejszego zapytania ofertowego, przy czym przed podpisaniem umowy Wykonawca lub os</w:t>
      </w:r>
      <w:r>
        <w:rPr>
          <w:rFonts w:ascii="Times New Roman" w:hAnsi="Times New Roman" w:cs="Times New Roman" w:eastAsiaTheme="minorHAnsi"/>
          <w:sz w:val="24"/>
          <w:szCs w:val="24"/>
          <w:u w:val="single"/>
        </w:rPr>
        <w:t xml:space="preserve">oba mająca w jego imieniu wykonywać przedmiot umowy zobowiązana będzie do okazania stosownych dokumentów i certyfikatów potwierdzających wymagane wykształcenie i doświadczenie (w zakresie niezbędnym do wykazania spełnienia warunku udziału w postępowaniu). </w:t>
      </w:r>
      <w:r>
        <w:rPr>
          <w:rFonts w:ascii="Times New Roman" w:hAnsi="Times New Roman" w:cs="Times New Roman" w:eastAsiaTheme="minorHAnsi"/>
          <w:sz w:val="24"/>
          <w:szCs w:val="24"/>
          <w:u w:val="single"/>
        </w:rPr>
        <w:t xml:space="preserve">Wykonawca zobowiązany będzie do wskazania personelu (os</w:t>
      </w:r>
      <w:r>
        <w:rPr>
          <w:rFonts w:ascii="Times New Roman" w:hAnsi="Times New Roman" w:cs="Times New Roman" w:eastAsiaTheme="minorHAnsi"/>
          <w:sz w:val="24"/>
          <w:szCs w:val="24"/>
          <w:u w:val="single"/>
        </w:rPr>
        <w:t xml:space="preserve">oby lub osób</w:t>
      </w:r>
      <w:r>
        <w:rPr>
          <w:rFonts w:ascii="Times New Roman" w:hAnsi="Times New Roman" w:cs="Times New Roman" w:eastAsiaTheme="minorHAnsi"/>
          <w:sz w:val="24"/>
          <w:szCs w:val="24"/>
          <w:u w:val="single"/>
        </w:rPr>
        <w:t xml:space="preserve"> wykonujących przedmiot zamówienia)</w:t>
      </w:r>
      <w:r>
        <w:rPr>
          <w:rFonts w:ascii="Times New Roman" w:hAnsi="Times New Roman" w:cs="Times New Roman" w:eastAsiaTheme="minorHAnsi"/>
          <w:sz w:val="24"/>
          <w:szCs w:val="24"/>
          <w:u w:val="single"/>
        </w:rPr>
        <w:t xml:space="preserve">, który wpisany zostanie do umowy. 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spacing w:lineRule="auto" w:line="240" w:after="0"/>
        <w:shd w:val="clear" w:fill="FFFFFF" w:color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 w:eastAsiaTheme="minorHAnsi"/>
          <w:sz w:val="24"/>
          <w:szCs w:val="24"/>
          <w:u w:val="single"/>
        </w:rPr>
      </w:r>
      <w:r>
        <w:rPr>
          <w:rFonts w:eastAsiaTheme="minorHAnsi"/>
        </w:rPr>
      </w:r>
      <w:r>
        <w:rPr>
          <w:rFonts w:eastAsiaTheme="minorHAnsi"/>
        </w:rPr>
      </w:r>
    </w:p>
    <w:p>
      <w:pPr>
        <w:spacing w:lineRule="auto" w:line="240" w:after="0"/>
        <w:shd w:val="clear" w:fill="FFFFFF" w:color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Theme="minorHAnsi"/>
          <w:b/>
          <w:sz w:val="24"/>
          <w:szCs w:val="24"/>
        </w:rPr>
        <w:t xml:space="preserve">VIII.</w:t>
      </w:r>
      <w:r>
        <w:rPr>
          <w:rFonts w:ascii="Times New Roman" w:hAnsi="Times New Roman" w:cs="Times New Roman" w:eastAsiaTheme="minorHAnsi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HAnsi"/>
          <w:b/>
          <w:bCs/>
          <w:sz w:val="24"/>
          <w:szCs w:val="24"/>
        </w:rPr>
        <w:t xml:space="preserve">OPIS SPOSOBU PRZYGOTOWANIA OFERTY: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20"/>
        <w:numPr>
          <w:ilvl w:val="1"/>
          <w:numId w:val="11"/>
        </w:numPr>
        <w:jc w:val="both"/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Theme="minorHAnsi"/>
          <w:sz w:val="24"/>
          <w:szCs w:val="24"/>
        </w:rPr>
        <w:t xml:space="preserve">Oferta może być sporządzona w formie pisemnej, w postaci papierowej lub w formie elektronicznej.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20"/>
        <w:numPr>
          <w:ilvl w:val="1"/>
          <w:numId w:val="11"/>
        </w:numPr>
        <w:jc w:val="both"/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Theme="minorHAnsi"/>
          <w:sz w:val="24"/>
          <w:szCs w:val="24"/>
        </w:rPr>
        <w:t xml:space="preserve">Zamawiający dopuszcza składanie ofert w postaci elektronicznej wyłącznie za pośrednictwem maila: </w:t>
      </w:r>
      <w:r>
        <w:rPr>
          <w:rFonts w:ascii="Times New Roman" w:hAnsi="Times New Roman" w:cs="Times New Roman" w:eastAsiaTheme="minorHAnsi"/>
          <w:sz w:val="24"/>
          <w:szCs w:val="24"/>
        </w:rPr>
        <w:t xml:space="preserve">cis@cis.ustka.pl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 .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20"/>
        <w:numPr>
          <w:ilvl w:val="1"/>
          <w:numId w:val="11"/>
        </w:numPr>
        <w:jc w:val="both"/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Theme="minorHAnsi"/>
          <w:sz w:val="24"/>
          <w:szCs w:val="24"/>
        </w:rPr>
        <w:t xml:space="preserve">Oferta musi być sporządzona w języku polskim, napisana na maszynie do pisania, komputerze lub ręcznie atramentem nieścieralnym.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20"/>
        <w:numPr>
          <w:ilvl w:val="1"/>
          <w:numId w:val="11"/>
        </w:numPr>
        <w:jc w:val="both"/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Theme="minorHAnsi"/>
          <w:sz w:val="24"/>
          <w:szCs w:val="24"/>
        </w:rPr>
        <w:t xml:space="preserve">Wszystkie strony oferty w wersji papierowej powinny być ponumerowane, spięte (zszyte) w sposób trwały, zapobiegający dekompletacji zawartości oferty.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20"/>
        <w:numPr>
          <w:ilvl w:val="1"/>
          <w:numId w:val="11"/>
        </w:numPr>
        <w:jc w:val="both"/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Theme="minorHAnsi"/>
          <w:sz w:val="24"/>
          <w:szCs w:val="24"/>
        </w:rPr>
        <w:t xml:space="preserve">Wszystkie miejsca, w których Wykonawca naniósł zmiany, muszą być parafowane przez osoby upoważnione do podpisania oferty.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20"/>
        <w:numPr>
          <w:ilvl w:val="1"/>
          <w:numId w:val="11"/>
        </w:numPr>
        <w:jc w:val="both"/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Theme="minorHAnsi"/>
          <w:sz w:val="24"/>
          <w:szCs w:val="24"/>
        </w:rPr>
        <w:t xml:space="preserve">Oferta musi być podpisana </w:t>
      </w:r>
      <w:r>
        <w:rPr>
          <w:rFonts w:ascii="Times New Roman" w:hAnsi="Times New Roman" w:cs="Times New Roman" w:eastAsiaTheme="minorHAnsi"/>
          <w:sz w:val="24"/>
          <w:szCs w:val="24"/>
        </w:rPr>
        <w:t xml:space="preserve">przez uprawnionych do reprezentacji przedstawicieli Wykonawców wymienionych w rejestrze firmy lub działających na podstawie pełnomocnictwa. Jeśli oferta zostanie podpisana przez ustanowionego pełnomocnika, do oferty należy dołączyć stosowne pełnomocnictwo.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20"/>
        <w:numPr>
          <w:ilvl w:val="1"/>
          <w:numId w:val="11"/>
        </w:numPr>
        <w:jc w:val="both"/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Theme="minorHAnsi"/>
          <w:sz w:val="24"/>
          <w:szCs w:val="24"/>
        </w:rPr>
        <w:t xml:space="preserve">W przypadku składania oferty w postaci elektronicznej zarówno oferta jak i wymagane załączniki muszą być opatrzone podpisem kwalifikowanym, zaufanym lub osobistym. Dopuszcza się możliwość zbiorczego podpisania w w/w formie całego</w:t>
      </w:r>
      <w:r>
        <w:rPr>
          <w:rFonts w:ascii="Times New Roman" w:hAnsi="Times New Roman" w:cs="Times New Roman" w:eastAsiaTheme="minorHAnsi"/>
          <w:sz w:val="24"/>
          <w:szCs w:val="24"/>
        </w:rPr>
        <w:t xml:space="preserve"> pliku zawierającego wymagane dokumenty. W przypadku przesyłania dokumentów osobnymi plikami, w/w podpisem musi zostać opatrzony każdy dokument osobno. W tym miejscu warto wyjaśnić, że podpisem osobistym jest zaawansowany podpis elektroniczny w rozumieniu </w:t>
      </w:r>
      <w:hyperlink r:id="rId15" w:tooltip="https://sip.lex.pl/" w:history="1">
        <w:r>
          <w:rPr>
            <w:rStyle w:val="923"/>
            <w:rFonts w:ascii="Times New Roman" w:hAnsi="Times New Roman" w:cs="Times New Roman" w:eastAsiaTheme="minorHAnsi"/>
            <w:sz w:val="24"/>
            <w:szCs w:val="24"/>
          </w:rPr>
          <w:t xml:space="preserve">art. 3 pkt 11</w:t>
        </w:r>
      </w:hyperlink>
      <w:r>
        <w:rPr>
          <w:rFonts w:ascii="Times New Roman" w:hAnsi="Times New Roman" w:cs="Times New Roman" w:eastAsiaTheme="minorHAnsi"/>
          <w:sz w:val="24"/>
          <w:szCs w:val="24"/>
        </w:rPr>
        <w:t xml:space="preserve"> rozporządzenia Parlamentu Europejskiego i Rady (UE) nr 910/2014 z dnia 23 lipca 2014 r. w sprawie identyfikacji elektronicznej i usług zaufania w odniesieniu do transakcji elektronicznych na rynku wewnętrznym oraz uchylającego </w:t>
      </w:r>
      <w:hyperlink r:id="rId16" w:tooltip="https://sip.lex.pl/" w:history="1">
        <w:r>
          <w:rPr>
            <w:rStyle w:val="923"/>
            <w:rFonts w:ascii="Times New Roman" w:hAnsi="Times New Roman" w:cs="Times New Roman" w:eastAsiaTheme="minorHAnsi"/>
            <w:sz w:val="24"/>
            <w:szCs w:val="24"/>
          </w:rPr>
          <w:t xml:space="preserve">dyrektywę</w:t>
        </w:r>
      </w:hyperlink>
      <w:r>
        <w:rPr>
          <w:rFonts w:ascii="Times New Roman" w:hAnsi="Times New Roman" w:cs="Times New Roman" w:eastAsiaTheme="minorHAnsi"/>
          <w:sz w:val="24"/>
          <w:szCs w:val="24"/>
        </w:rPr>
        <w:t xml:space="preserve"> 1999/93/WE, weryfikowany za pomocą certyfikatu </w:t>
      </w:r>
      <w:r>
        <w:rPr>
          <w:rStyle w:val="970"/>
          <w:rFonts w:eastAsiaTheme="minorHAnsi"/>
          <w:iCs/>
          <w:sz w:val="24"/>
          <w:szCs w:val="24"/>
        </w:rPr>
        <w:t xml:space="preserve">podpisu osobistego</w:t>
      </w:r>
      <w:r>
        <w:rPr>
          <w:rFonts w:ascii="Times New Roman" w:hAnsi="Times New Roman" w:cs="Times New Roman" w:eastAsiaTheme="minorHAnsi"/>
          <w:sz w:val="24"/>
          <w:szCs w:val="24"/>
        </w:rPr>
        <w:t xml:space="preserve"> (zgodnie z art. 2 ust. 1 pkt 9 ustawy z dnia 6 sierpnia 2010 r. o dowodach osobistych).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20"/>
        <w:numPr>
          <w:ilvl w:val="1"/>
          <w:numId w:val="11"/>
        </w:numPr>
        <w:jc w:val="both"/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Theme="minorHAnsi"/>
          <w:spacing w:val="-6"/>
          <w:sz w:val="24"/>
          <w:szCs w:val="24"/>
        </w:rPr>
        <w:t xml:space="preserve">Nie ujawnia się informacji stanowiących tajemnicę przedsiębiorstwa w rozumieniu przepisów </w:t>
      </w:r>
      <w:r>
        <w:rPr>
          <w:rFonts w:ascii="Times New Roman" w:hAnsi="Times New Roman" w:cs="Times New Roman" w:eastAsiaTheme="minorHAnsi"/>
          <w:spacing w:val="-6"/>
          <w:sz w:val="24"/>
          <w:szCs w:val="24"/>
        </w:rPr>
        <w:br/>
        <w:t xml:space="preserve">o zwalczaniu nieuczciwej konkurencji, jeżeli Wykonawca, nie później niż w terminie składania ofert, zastrzegł, że nie mogą być one udostępnione oraz </w:t>
      </w:r>
      <w:r>
        <w:rPr>
          <w:rFonts w:ascii="Times New Roman" w:hAnsi="Times New Roman" w:cs="Times New Roman" w:eastAsiaTheme="minorHAnsi"/>
          <w:spacing w:val="-6"/>
          <w:sz w:val="24"/>
          <w:szCs w:val="24"/>
          <w:u w:val="single"/>
        </w:rPr>
        <w:t xml:space="preserve">wykazał</w:t>
      </w:r>
      <w:r>
        <w:rPr>
          <w:rFonts w:ascii="Times New Roman" w:hAnsi="Times New Roman" w:cs="Times New Roman" w:eastAsiaTheme="minorHAnsi"/>
          <w:spacing w:val="-6"/>
          <w:sz w:val="24"/>
          <w:szCs w:val="24"/>
        </w:rPr>
        <w:t xml:space="preserve">, iż zastrzeżone informacje stanowią tajemnicę przedsiębiorstwa. P</w:t>
      </w:r>
      <w:r>
        <w:rPr>
          <w:rFonts w:ascii="Times New Roman" w:hAnsi="Times New Roman" w:cs="Times New Roman" w:eastAsiaTheme="minorHAnsi"/>
          <w:sz w:val="24"/>
          <w:szCs w:val="24"/>
        </w:rPr>
        <w:t xml:space="preserve">owyższe informacje muszą być oznaczone klauzulą: ,,Tajemnica przedsiębiorstwa” oraz zaleca się aby były trwale i oddzielnie spięte.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20"/>
        <w:numPr>
          <w:ilvl w:val="1"/>
          <w:numId w:val="11"/>
        </w:numPr>
        <w:jc w:val="both"/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Theme="minorHAnsi"/>
          <w:sz w:val="24"/>
          <w:szCs w:val="24"/>
        </w:rPr>
        <w:t xml:space="preserve">W przypadku dołączania do oferty kopii dokumentów osoba uprawniona do podpisania oferty winna poświadczyć ją za zgodność z oryginałem.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20"/>
        <w:numPr>
          <w:ilvl w:val="1"/>
          <w:numId w:val="11"/>
        </w:numPr>
        <w:jc w:val="both"/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Theme="minorHAnsi"/>
          <w:sz w:val="24"/>
          <w:szCs w:val="24"/>
        </w:rPr>
        <w:t xml:space="preserve">Zamawiający może żądać przedstawienia oryginału lub notarialnie poświadczonej kopii dokumentów lub oświadczeń wyłącznie wtedy, gdy złożona kopia jest nieczytelna lub budzi wątpliwości co do jej prawdziwości.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20"/>
        <w:numPr>
          <w:ilvl w:val="1"/>
          <w:numId w:val="11"/>
        </w:numPr>
        <w:jc w:val="both"/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Theme="minorHAnsi"/>
          <w:sz w:val="24"/>
          <w:szCs w:val="24"/>
        </w:rPr>
        <w:t xml:space="preserve">Dokumenty lub oświadczenia sporządzone w języku obcym są składane wraz </w:t>
      </w:r>
      <w:r>
        <w:rPr>
          <w:rFonts w:ascii="Times New Roman" w:hAnsi="Times New Roman" w:cs="Times New Roman" w:eastAsiaTheme="minorHAnsi"/>
          <w:sz w:val="24"/>
          <w:szCs w:val="24"/>
        </w:rPr>
        <w:br/>
        <w:t xml:space="preserve">z tłumaczeniem na język polski.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20"/>
        <w:numPr>
          <w:ilvl w:val="1"/>
          <w:numId w:val="11"/>
        </w:numPr>
        <w:jc w:val="both"/>
        <w:spacing w:lineRule="auto" w:line="240"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 w:eastAsiaTheme="minorHAnsi"/>
          <w:sz w:val="24"/>
          <w:szCs w:val="24"/>
        </w:rPr>
        <w:t xml:space="preserve">Zamawiaj</w:t>
      </w:r>
      <w:r>
        <w:rPr>
          <w:rFonts w:ascii="Times New Roman" w:hAnsi="Times New Roman" w:cs="Times New Roman" w:eastAsia="TimesNewRoman" w:eastAsiaTheme="minorHAnsi"/>
          <w:sz w:val="24"/>
          <w:szCs w:val="24"/>
        </w:rPr>
        <w:t xml:space="preserve">ą</w:t>
      </w:r>
      <w:r>
        <w:rPr>
          <w:rFonts w:ascii="Times New Roman" w:hAnsi="Times New Roman" w:cs="Times New Roman" w:eastAsiaTheme="minorHAnsi"/>
          <w:sz w:val="24"/>
          <w:szCs w:val="24"/>
        </w:rPr>
        <w:t xml:space="preserve">cy nie dopuszcza do składania ofert cz</w:t>
      </w:r>
      <w:r>
        <w:rPr>
          <w:rFonts w:ascii="Times New Roman" w:hAnsi="Times New Roman" w:cs="Times New Roman" w:eastAsia="TimesNewRoman" w:eastAsiaTheme="minorHAnsi"/>
          <w:sz w:val="24"/>
          <w:szCs w:val="24"/>
        </w:rPr>
        <w:t xml:space="preserve">ęś</w:t>
      </w:r>
      <w:r>
        <w:rPr>
          <w:rFonts w:ascii="Times New Roman" w:hAnsi="Times New Roman" w:cs="Times New Roman" w:eastAsiaTheme="minorHAnsi"/>
          <w:sz w:val="24"/>
          <w:szCs w:val="24"/>
        </w:rPr>
        <w:t xml:space="preserve">ciowych</w:t>
      </w:r>
      <w:r>
        <w:rPr>
          <w:rFonts w:ascii="Times New Roman" w:hAnsi="Times New Roman" w:cs="Times New Roman" w:eastAsiaTheme="minorHAnsi"/>
          <w:color w:val="FF0000"/>
          <w:sz w:val="24"/>
          <w:szCs w:val="24"/>
        </w:rPr>
        <w:t xml:space="preserve">.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20"/>
        <w:numPr>
          <w:ilvl w:val="1"/>
          <w:numId w:val="11"/>
        </w:numPr>
        <w:jc w:val="both"/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Theme="minorHAnsi"/>
          <w:sz w:val="24"/>
          <w:szCs w:val="24"/>
        </w:rPr>
        <w:t xml:space="preserve">Zamawiający nie dopuszcza składania ofert wariantowych.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20"/>
        <w:numPr>
          <w:ilvl w:val="1"/>
          <w:numId w:val="11"/>
        </w:numPr>
        <w:jc w:val="both"/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Theme="minorHAnsi"/>
          <w:sz w:val="24"/>
          <w:szCs w:val="24"/>
        </w:rPr>
        <w:t xml:space="preserve">Zamawiający zastrzega sobie prawo do unieważnienia postępowania o udzielenie zamówienia w formie zapytania ofertowego, bez podania przyczyny na każdym etapie postępowania.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spacing w:lineRule="auto" w:line="240"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 w:eastAsiaTheme="minorHAnsi"/>
          <w:b/>
          <w:bCs/>
          <w:sz w:val="24"/>
          <w:szCs w:val="24"/>
        </w:rPr>
        <w:t xml:space="preserve">IX.WYKLUCZENIE WYKONAWCY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20"/>
        <w:numPr>
          <w:ilvl w:val="0"/>
          <w:numId w:val="7"/>
        </w:numPr>
        <w:ind w:left="360"/>
        <w:jc w:val="both"/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Theme="minorHAnsi"/>
          <w:sz w:val="24"/>
          <w:szCs w:val="24"/>
        </w:rPr>
        <w:t xml:space="preserve">Zamawiający nie może udzielić zamówienia podmiotom powiązanym z nim osobowo lub kapitałowo. Przez powiązania osobowe lub kapitałowe rozumie się wzajemne powiązania pomiędzy Zamawiającym lub osobami upoważnionymi do zaciągnięcia zobowiązań </w:t>
      </w:r>
      <w:r>
        <w:rPr>
          <w:rFonts w:ascii="Times New Roman" w:hAnsi="Times New Roman" w:cs="Times New Roman" w:eastAsiaTheme="minorHAnsi"/>
          <w:sz w:val="24"/>
          <w:szCs w:val="24"/>
        </w:rPr>
        <w:br/>
        <w:t xml:space="preserve">w imieniu Zamawiającego lub osobami wykonującymi w imieniu Zamawiającego czynności związane z przygotowaniem i przeprowadzeniem procedury wyboru Wykonawcy, a Wykonawcą, polegające w szczególności na: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55"/>
        <w:numPr>
          <w:ilvl w:val="0"/>
          <w:numId w:val="2"/>
        </w:numPr>
        <w:jc w:val="both"/>
        <w:rPr>
          <w:lang w:eastAsia="en-US"/>
        </w:rPr>
      </w:pPr>
      <w:r>
        <w:rPr>
          <w:rFonts w:eastAsiaTheme="minorHAnsi"/>
          <w:lang w:eastAsia="en-US"/>
        </w:rPr>
        <w:t xml:space="preserve">uczestniczeniu w spółce jako wspólnik spółki cywilnej lub spółki osobowej;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55"/>
        <w:numPr>
          <w:ilvl w:val="0"/>
          <w:numId w:val="2"/>
        </w:numPr>
        <w:jc w:val="both"/>
        <w:rPr>
          <w:lang w:eastAsia="en-US"/>
        </w:rPr>
      </w:pPr>
      <w:r>
        <w:rPr>
          <w:rFonts w:eastAsiaTheme="minorHAnsi"/>
          <w:lang w:eastAsia="en-US"/>
        </w:rPr>
        <w:t xml:space="preserve">posiadaniu co najmniej 10% udziałów lub akcji, o ile niższy próg nie wynika </w:t>
      </w:r>
      <w:r>
        <w:rPr>
          <w:rFonts w:eastAsiaTheme="minorHAnsi"/>
          <w:lang w:eastAsia="en-US"/>
        </w:rPr>
        <w:br/>
        <w:t xml:space="preserve">z przepisów prawa lub nie został  określony przez IZ PO;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55"/>
        <w:numPr>
          <w:ilvl w:val="0"/>
          <w:numId w:val="2"/>
        </w:numPr>
        <w:jc w:val="both"/>
        <w:rPr>
          <w:lang w:eastAsia="en-US"/>
        </w:rPr>
      </w:pPr>
      <w:r>
        <w:rPr>
          <w:rFonts w:eastAsiaTheme="minorHAnsi"/>
          <w:lang w:eastAsia="en-US"/>
        </w:rPr>
        <w:t xml:space="preserve">pełnieniu funkcji członka organu nadzorczego lub zarządzającego, prokurenta, pełnomocnika;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55"/>
        <w:numPr>
          <w:ilvl w:val="0"/>
          <w:numId w:val="2"/>
        </w:numPr>
        <w:rPr>
          <w:lang w:eastAsia="en-US"/>
        </w:rPr>
      </w:pPr>
      <w:r>
        <w:rPr>
          <w:rFonts w:eastAsiaTheme="minorHAnsi"/>
          <w:lang w:eastAsia="en-US"/>
        </w:rPr>
        <w:t xml:space="preserve">pozostawaniu w związku małżeńskim, w stosunku pokrewieństwa lub powinowactwa w linii prostej, w stosunku pokrewieństwa lub powinowactwa w linii bocznej do drugiego stopnia lub pozostawania w stosunku przysposobienia, opieki lub kurateli.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55"/>
        <w:numPr>
          <w:ilvl w:val="0"/>
          <w:numId w:val="7"/>
        </w:numPr>
        <w:ind w:left="360"/>
        <w:jc w:val="both"/>
        <w:rPr>
          <w:lang w:eastAsia="en-US"/>
        </w:rPr>
      </w:pPr>
      <w:r>
        <w:rPr>
          <w:rFonts w:eastAsiaTheme="minorHAnsi"/>
          <w:lang w:eastAsia="en-US"/>
        </w:rPr>
        <w:t xml:space="preserve">Brak powiązań Wykonawcy z Zamawiającym będzie weryfikowany na podstawie oświadczenia o braku powiązań, którego wzór stanowi </w:t>
      </w:r>
      <w:r>
        <w:rPr>
          <w:rFonts w:eastAsiaTheme="minorHAnsi"/>
          <w:u w:val="single"/>
          <w:lang w:eastAsia="en-US"/>
        </w:rPr>
        <w:t xml:space="preserve">Załącznik nr 1 do niniejszego zapytania ofertowego</w:t>
      </w:r>
      <w:r>
        <w:rPr>
          <w:rFonts w:eastAsiaTheme="minorHAnsi"/>
          <w:lang w:eastAsia="en-US"/>
        </w:rPr>
        <w:t xml:space="preserve">.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55"/>
        <w:numPr>
          <w:ilvl w:val="0"/>
          <w:numId w:val="7"/>
        </w:numPr>
        <w:ind w:left="360"/>
        <w:jc w:val="both"/>
        <w:rPr>
          <w:lang w:eastAsia="en-US"/>
        </w:rPr>
      </w:pPr>
      <w:r>
        <w:rPr>
          <w:rFonts w:eastAsiaTheme="minorHAnsi"/>
          <w:iCs/>
          <w:lang w:eastAsia="en-US"/>
        </w:rPr>
        <w:t xml:space="preserve">W związku z wykluczeniem Wykonawcy nie przysługują mu środki ochrony prawnej.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55"/>
        <w:ind w:left="-425" w:firstLine="425"/>
        <w:jc w:val="both"/>
        <w:rPr>
          <w:rFonts w:ascii="Arial Narrow" w:hAnsi="Arial Narrow" w:cs="Arial Narrow"/>
          <w:b/>
          <w:iCs/>
          <w:sz w:val="22"/>
          <w:szCs w:val="22"/>
          <w:lang w:eastAsia="en-US"/>
        </w:rPr>
      </w:pPr>
      <w:r>
        <w:rPr>
          <w:rFonts w:ascii="Arial Narrow" w:hAnsi="Arial Narrow" w:cs="Arial Narrow" w:eastAsiaTheme="minorHAnsi"/>
          <w:b/>
          <w:iCs/>
          <w:sz w:val="22"/>
          <w:szCs w:val="22"/>
          <w:lang w:eastAsia="en-US"/>
        </w:rPr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55"/>
        <w:ind w:left="283"/>
        <w:jc w:val="both"/>
        <w:rPr>
          <w:b/>
          <w:bCs/>
        </w:rPr>
      </w:pPr>
      <w:r>
        <w:rPr>
          <w:rFonts w:eastAsiaTheme="minorHAnsi"/>
          <w:b/>
          <w:bCs/>
        </w:rPr>
        <w:t xml:space="preserve">X.ODRZUCENIE OFERTY: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20"/>
        <w:numPr>
          <w:ilvl w:val="0"/>
          <w:numId w:val="8"/>
        </w:numPr>
        <w:ind w:left="360"/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Theme="minorHAnsi"/>
          <w:sz w:val="24"/>
          <w:szCs w:val="24"/>
        </w:rPr>
        <w:t xml:space="preserve">W niniejszym postępowaniu zostanie odrzucona oferta Wykonawcy, który: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52"/>
        <w:numPr>
          <w:ilvl w:val="0"/>
          <w:numId w:val="3"/>
        </w:numPr>
        <w:contextualSpacing w:val="true"/>
        <w:ind w:left="646" w:hanging="283"/>
        <w:jc w:val="both"/>
        <w:spacing w:lineRule="auto" w:line="240" w:after="0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złoży ofertę niezgodną z treścią niniejszego zapytania ofertowego,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52"/>
        <w:numPr>
          <w:ilvl w:val="0"/>
          <w:numId w:val="3"/>
        </w:numPr>
        <w:contextualSpacing w:val="true"/>
        <w:ind w:left="646" w:hanging="283"/>
        <w:jc w:val="both"/>
        <w:spacing w:lineRule="auto" w:line="240" w:after="0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złoży ofertę niekompletną, tj. nie zawierającą oświadczeń i dokumentów wymaganych przez  Zamawiającego, podpisaną przez osoby nieuprawnione lub w przypadku wersji elektronicznej bez wymaganych podpisów w określonej w zapytaniu formie,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52"/>
        <w:numPr>
          <w:ilvl w:val="0"/>
          <w:numId w:val="3"/>
        </w:numPr>
        <w:contextualSpacing w:val="true"/>
        <w:ind w:left="646" w:hanging="283"/>
        <w:jc w:val="both"/>
        <w:spacing w:lineRule="auto" w:line="240" w:after="0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przedstawi nieprawdziwe informacje,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52"/>
        <w:numPr>
          <w:ilvl w:val="0"/>
          <w:numId w:val="3"/>
        </w:numPr>
        <w:contextualSpacing w:val="true"/>
        <w:ind w:left="646" w:hanging="283"/>
        <w:jc w:val="both"/>
        <w:spacing w:lineRule="auto" w:line="240" w:after="0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nie spełnia warunków udziału w postępowaniu,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52"/>
        <w:numPr>
          <w:ilvl w:val="0"/>
          <w:numId w:val="3"/>
        </w:numPr>
        <w:contextualSpacing w:val="true"/>
        <w:ind w:left="646" w:hanging="283"/>
        <w:jc w:val="both"/>
        <w:spacing w:lineRule="auto" w:line="240" w:after="0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złożył ofertę, która zawiera rażąco niską cenę (zgodnie z określonymi w zapytaniu wytycznymi).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52"/>
        <w:numPr>
          <w:ilvl w:val="0"/>
          <w:numId w:val="8"/>
        </w:numPr>
        <w:ind w:left="360"/>
        <w:jc w:val="both"/>
        <w:spacing w:lineRule="auto" w:line="240" w:after="0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 w:eastAsiaTheme="minorHAnsi"/>
          <w:sz w:val="24"/>
          <w:szCs w:val="24"/>
          <w:lang w:eastAsia="en-US"/>
        </w:rPr>
        <w:t xml:space="preserve">W związku z odrzuceniem ofert Wykonawcy nie przysługują środki ochrony prawnej.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20"/>
        <w:ind w:left="-567" w:firstLine="567"/>
        <w:jc w:val="both"/>
        <w:spacing w:lineRule="auto" w:line="240"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 w:eastAsiaTheme="minorHAnsi"/>
          <w:b/>
          <w:color w:val="000000" w:themeColor="text1"/>
          <w:sz w:val="24"/>
          <w:szCs w:val="24"/>
        </w:rPr>
        <w:t xml:space="preserve">XI.  RAŻĄCO NISKA CENA: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52"/>
        <w:numPr>
          <w:ilvl w:val="0"/>
          <w:numId w:val="6"/>
        </w:numPr>
        <w:ind w:left="360"/>
        <w:jc w:val="both"/>
        <w:spacing w:lineRule="auto" w:line="24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eastAsiaTheme="minorHAnsi"/>
          <w:color w:val="000000" w:themeColor="text1"/>
          <w:sz w:val="24"/>
          <w:szCs w:val="24"/>
          <w:lang w:eastAsia="en-US"/>
        </w:rPr>
        <w:t xml:space="preserve">Jeżeli cena oferty wydaje się rażąco niska w stosunku do przedmiotu zamówienia i budzi wątpliwości Zamawiającego co do możliwości wykonania przedmiotu zamówienia zgodnie z wymaganiami określonymi przez Zamawiającego lub </w:t>
      </w:r>
      <w:r>
        <w:rPr>
          <w:rFonts w:ascii="Times New Roman" w:hAnsi="Times New Roman" w:eastAsiaTheme="minorHAnsi"/>
          <w:color w:val="000000" w:themeColor="text1"/>
          <w:sz w:val="24"/>
          <w:szCs w:val="24"/>
          <w:lang w:eastAsia="en-US"/>
        </w:rPr>
        <w:t xml:space="preserve">wynikającymi z odrębnych przepisów, w szczególności jest niższa o 30% od wartości zamówienia (powiększonej o podatek od towarów i usług) lub średniej arytmetycznej cen wszystkich złożonych ofert Zamawiający zwraca się do Wykonawcy o udzielenie wyjaśnień. 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52"/>
        <w:numPr>
          <w:ilvl w:val="0"/>
          <w:numId w:val="6"/>
        </w:numPr>
        <w:ind w:left="360"/>
        <w:jc w:val="both"/>
        <w:spacing w:lineRule="auto" w:line="24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eastAsiaTheme="minorHAnsi"/>
          <w:color w:val="000000" w:themeColor="text1"/>
          <w:sz w:val="24"/>
          <w:szCs w:val="24"/>
          <w:lang w:eastAsia="en-US"/>
        </w:rPr>
        <w:t xml:space="preserve">Zamawiający w celu ustalenia, czy oferta zawiera rażąco niską cenę w stosunk</w:t>
      </w:r>
      <w:r>
        <w:rPr>
          <w:rFonts w:ascii="Times New Roman" w:hAnsi="Times New Roman" w:eastAsiaTheme="minorHAnsi"/>
          <w:color w:val="000000" w:themeColor="text1"/>
          <w:sz w:val="24"/>
          <w:szCs w:val="24"/>
          <w:lang w:eastAsia="en-US"/>
        </w:rPr>
        <w:t xml:space="preserve">u do przedmiotu zamówienia, zwraca się do Wykonawcy o udzielenie w określonym terminie wyjaśnień w tym złożenie dowodów dotyczących elementów oferty mających wpływ na wysokość ceny. Zamawiający, oceniając wyjaśnienia, bierze pod uwagę obiektywne czynniki.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52"/>
        <w:numPr>
          <w:ilvl w:val="0"/>
          <w:numId w:val="6"/>
        </w:numPr>
        <w:ind w:left="360"/>
        <w:jc w:val="both"/>
        <w:spacing w:lineRule="auto" w:line="24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eastAsiaTheme="minorHAnsi"/>
          <w:color w:val="000000" w:themeColor="text1"/>
          <w:sz w:val="24"/>
          <w:szCs w:val="24"/>
          <w:lang w:eastAsia="en-US"/>
        </w:rPr>
        <w:t xml:space="preserve">Obowiązek wykazania, że oferta nie zawiera rażąco niskiej ceny spoczywa na Wykonawcy. Zamawiający odrzuci ofertę Wykonawcy, który nie złożył wyjaśnień, nie złoży ich w wyznaczonym do tego terminie lub jeżeli dokonana ocena wyjaśnień wraz </w:t>
      </w:r>
      <w:r>
        <w:rPr>
          <w:rFonts w:ascii="Times New Roman" w:hAnsi="Times New Roman" w:eastAsiaTheme="minorHAnsi"/>
          <w:color w:val="000000" w:themeColor="text1"/>
          <w:sz w:val="24"/>
          <w:szCs w:val="24"/>
          <w:lang w:eastAsia="en-US"/>
        </w:rPr>
        <w:br/>
      </w:r>
      <w:r>
        <w:rPr>
          <w:rFonts w:ascii="Times New Roman" w:hAnsi="Times New Roman" w:eastAsiaTheme="minorHAnsi"/>
          <w:color w:val="000000" w:themeColor="text1"/>
          <w:sz w:val="24"/>
          <w:szCs w:val="24"/>
          <w:lang w:eastAsia="en-US"/>
        </w:rPr>
        <w:t xml:space="preserve">z dostarczonymi dowodami potwierdza, że oferta zawiera rażąco niską cenę w stosunku do przedmiotu zamówienia.</w:t>
      </w:r>
      <w:r>
        <w:rPr>
          <w:rFonts w:ascii="Times New Roman" w:hAnsi="Times New Roman" w:eastAsiaTheme="minorHAnsi"/>
          <w:b/>
          <w:color w:val="000000" w:themeColor="text1"/>
          <w:sz w:val="24"/>
          <w:szCs w:val="24"/>
          <w:lang w:eastAsia="en-US"/>
        </w:rPr>
        <w:t xml:space="preserve">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52"/>
        <w:ind w:left="-426" w:firstLine="426"/>
        <w:jc w:val="both"/>
        <w:spacing w:lineRule="auto" w:line="240" w:after="0"/>
        <w:tabs>
          <w:tab w:val="left" w:pos="426" w:leader="none"/>
        </w:tabs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 w:eastAsiaTheme="minorHAnsi"/>
          <w:b/>
          <w:sz w:val="24"/>
          <w:szCs w:val="24"/>
          <w:lang w:eastAsia="en-US"/>
        </w:rPr>
        <w:t xml:space="preserve">XII. </w:t>
      </w:r>
      <w:r>
        <w:rPr>
          <w:rFonts w:ascii="Times New Roman" w:hAnsi="Times New Roman" w:eastAsiaTheme="minorHAnsi"/>
          <w:b/>
          <w:bCs/>
          <w:sz w:val="24"/>
          <w:szCs w:val="24"/>
        </w:rPr>
        <w:t xml:space="preserve">KRYTERIA OCENY OFERT: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52"/>
        <w:numPr>
          <w:ilvl w:val="0"/>
          <w:numId w:val="9"/>
        </w:numPr>
        <w:ind w:left="360"/>
        <w:jc w:val="both"/>
        <w:spacing w:lineRule="auto" w:line="2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Theme="minorHAnsi"/>
          <w:sz w:val="24"/>
          <w:szCs w:val="24"/>
        </w:rPr>
        <w:t xml:space="preserve">Zamawiający oceni i porówna jedynie te oferty, które nie zostaną odrzucone przez Zamawiającego.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52"/>
        <w:numPr>
          <w:ilvl w:val="0"/>
          <w:numId w:val="9"/>
        </w:numPr>
        <w:ind w:left="360"/>
        <w:jc w:val="both"/>
        <w:spacing w:lineRule="auto" w:line="2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Theme="minorHAnsi"/>
          <w:sz w:val="24"/>
          <w:szCs w:val="24"/>
        </w:rPr>
        <w:t xml:space="preserve">Oferty zostaną ocenione za pomocą systemu punktowego, zgodnie z poniższymi kryteriami:</w:t>
      </w:r>
      <w:r>
        <w:rPr>
          <w:rFonts w:eastAsiaTheme="minorHAnsi"/>
        </w:rPr>
      </w:r>
      <w:r>
        <w:rPr>
          <w:rFonts w:eastAsiaTheme="minorHAnsi"/>
        </w:rPr>
      </w:r>
    </w:p>
    <w:tbl>
      <w:tblPr>
        <w:tblStyle w:val="924"/>
        <w:tblW w:w="0" w:type="auto"/>
        <w:jc w:val="center"/>
        <w:tblLook w:val="04A0" w:firstRow="1" w:lastRow="0" w:firstColumn="1" w:lastColumn="0" w:noHBand="0" w:noVBand="1"/>
      </w:tblPr>
      <w:tblGrid>
        <w:gridCol w:w="570"/>
        <w:gridCol w:w="6476"/>
        <w:gridCol w:w="1655"/>
      </w:tblGrid>
      <w:tr>
        <w:trPr>
          <w:jc w:val="center"/>
        </w:trPr>
        <w:tc>
          <w:tcPr>
            <w:tcW w:w="570" w:type="dxa"/>
            <w:textDirection w:val="lrTb"/>
            <w:noWrap w:val="false"/>
          </w:tcPr>
          <w:p>
            <w:pPr>
              <w:pStyle w:val="920"/>
              <w:ind w:left="0"/>
              <w:tabs>
                <w:tab w:val="left" w:pos="2550" w:leader="non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Lp.</w:t>
            </w:r>
            <w:r/>
          </w:p>
        </w:tc>
        <w:tc>
          <w:tcPr>
            <w:tcW w:w="6476" w:type="dxa"/>
            <w:textDirection w:val="lrTb"/>
            <w:noWrap w:val="false"/>
          </w:tcPr>
          <w:p>
            <w:pPr>
              <w:pStyle w:val="920"/>
              <w:ind w:left="0"/>
              <w:tabs>
                <w:tab w:val="left" w:pos="2550" w:leader="non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Nazwa kryterium</w:t>
            </w:r>
            <w:r/>
          </w:p>
        </w:tc>
        <w:tc>
          <w:tcPr>
            <w:tcW w:w="1655" w:type="dxa"/>
            <w:textDirection w:val="lrTb"/>
            <w:noWrap w:val="false"/>
          </w:tcPr>
          <w:p>
            <w:pPr>
              <w:pStyle w:val="920"/>
              <w:ind w:left="0"/>
              <w:tabs>
                <w:tab w:val="left" w:pos="2550" w:leader="non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Waga (%)</w:t>
            </w:r>
            <w:r/>
          </w:p>
        </w:tc>
      </w:tr>
      <w:tr>
        <w:trPr>
          <w:jc w:val="center"/>
        </w:trPr>
        <w:tc>
          <w:tcPr>
            <w:tcW w:w="570" w:type="dxa"/>
            <w:textDirection w:val="lrTb"/>
            <w:noWrap w:val="false"/>
          </w:tcPr>
          <w:p>
            <w:pPr>
              <w:pStyle w:val="920"/>
              <w:ind w:left="0"/>
              <w:tabs>
                <w:tab w:val="left" w:pos="255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</w:t>
            </w:r>
            <w:r/>
          </w:p>
        </w:tc>
        <w:tc>
          <w:tcPr>
            <w:tcW w:w="6476" w:type="dxa"/>
            <w:textDirection w:val="lrTb"/>
            <w:noWrap w:val="false"/>
          </w:tcPr>
          <w:p>
            <w:pPr>
              <w:pStyle w:val="920"/>
              <w:ind w:left="0"/>
              <w:tabs>
                <w:tab w:val="left" w:pos="2550" w:leader="non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Łączna cena brutto – C(1)  </w:t>
            </w:r>
            <w:r/>
          </w:p>
        </w:tc>
        <w:tc>
          <w:tcPr>
            <w:tcW w:w="1655" w:type="dxa"/>
            <w:textDirection w:val="lrTb"/>
            <w:noWrap w:val="false"/>
          </w:tcPr>
          <w:p>
            <w:pPr>
              <w:pStyle w:val="920"/>
              <w:ind w:left="0"/>
              <w:jc w:val="center"/>
              <w:tabs>
                <w:tab w:val="left" w:pos="2550" w:leader="non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80</w:t>
            </w:r>
            <w:r/>
          </w:p>
        </w:tc>
      </w:tr>
      <w:tr>
        <w:trPr>
          <w:jc w:val="center"/>
        </w:trPr>
        <w:tc>
          <w:tcPr>
            <w:tcW w:w="570" w:type="dxa"/>
            <w:textDirection w:val="lrTb"/>
            <w:noWrap w:val="false"/>
          </w:tcPr>
          <w:p>
            <w:pPr>
              <w:pStyle w:val="920"/>
              <w:ind w:left="0"/>
              <w:tabs>
                <w:tab w:val="left" w:pos="255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</w:t>
            </w:r>
            <w:r/>
          </w:p>
        </w:tc>
        <w:tc>
          <w:tcPr>
            <w:tcW w:w="6476" w:type="dxa"/>
            <w:textDirection w:val="lrTb"/>
            <w:noWrap w:val="false"/>
          </w:tcPr>
          <w:p>
            <w:pPr>
              <w:pStyle w:val="920"/>
              <w:ind w:left="0"/>
              <w:tabs>
                <w:tab w:val="left" w:pos="2550" w:leader="non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Doświadczenie personelu – C(2)</w:t>
            </w:r>
            <w:r/>
          </w:p>
        </w:tc>
        <w:tc>
          <w:tcPr>
            <w:tcW w:w="1655" w:type="dxa"/>
            <w:textDirection w:val="lrTb"/>
            <w:noWrap w:val="false"/>
          </w:tcPr>
          <w:p>
            <w:pPr>
              <w:pStyle w:val="920"/>
              <w:ind w:left="0"/>
              <w:jc w:val="center"/>
              <w:tabs>
                <w:tab w:val="left" w:pos="2550" w:leader="non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</w:t>
            </w:r>
            <w:r/>
          </w:p>
        </w:tc>
      </w:tr>
      <w:tr>
        <w:trPr>
          <w:jc w:val="center"/>
        </w:trPr>
        <w:tc>
          <w:tcPr>
            <w:tcW w:w="570" w:type="dxa"/>
            <w:textDirection w:val="lrTb"/>
            <w:noWrap w:val="false"/>
          </w:tcPr>
          <w:p>
            <w:pPr>
              <w:pStyle w:val="920"/>
              <w:ind w:left="0"/>
              <w:tabs>
                <w:tab w:val="left" w:pos="255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6476" w:type="dxa"/>
            <w:textDirection w:val="lrTb"/>
            <w:noWrap w:val="false"/>
          </w:tcPr>
          <w:p>
            <w:pPr>
              <w:pStyle w:val="920"/>
              <w:ind w:left="0"/>
              <w:tabs>
                <w:tab w:val="left" w:pos="255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Razem:</w:t>
            </w:r>
            <w:r/>
          </w:p>
        </w:tc>
        <w:tc>
          <w:tcPr>
            <w:tcW w:w="1655" w:type="dxa"/>
            <w:textDirection w:val="lrTb"/>
            <w:noWrap w:val="false"/>
          </w:tcPr>
          <w:p>
            <w:pPr>
              <w:pStyle w:val="920"/>
              <w:ind w:left="0"/>
              <w:jc w:val="center"/>
              <w:tabs>
                <w:tab w:val="left" w:pos="2550" w:leader="non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100</w:t>
            </w:r>
            <w:r/>
          </w:p>
        </w:tc>
      </w:tr>
    </w:tbl>
    <w:p>
      <w:pPr>
        <w:jc w:val="both"/>
        <w:spacing w:lineRule="auto" w:line="240" w:after="0"/>
        <w:tabs>
          <w:tab w:val="left" w:pos="255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Theme="minorHAnsi"/>
          <w:sz w:val="24"/>
          <w:szCs w:val="24"/>
        </w:rPr>
        <w:t xml:space="preserve">Kryteria mają przyporządkowaną liczbę punktów w skali od 0 do 100, zgodnie z posiadaną wagą, przyjmując zasadę, że 1% to 1 punkt, np. cena 80 % = 80 pkt.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Theme="minorHAnsi"/>
          <w:sz w:val="24"/>
          <w:szCs w:val="24"/>
        </w:rPr>
        <w:t xml:space="preserve">Obliczenia będą dokonywane z dokładnością do dwóch miejsc po przecinku.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Theme="minorHAnsi"/>
          <w:b/>
          <w:sz w:val="24"/>
          <w:szCs w:val="24"/>
          <w:u w:val="single"/>
        </w:rPr>
        <w:t xml:space="preserve">Punkty w kryterium Nr 1 „Łączna cena brutto” C(1) zostaną obliczone wg. wzoru: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spacing w:lineRule="auto" w:line="240" w:after="0"/>
        <w:shd w:val="clear" w:fill="FFFFFF" w:color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Theme="minorHAnsi"/>
          <w:color w:val="000000"/>
          <w:sz w:val="24"/>
          <w:szCs w:val="24"/>
        </w:rPr>
        <w:t xml:space="preserve">Cenę brutto za wykonanie zamówienia należy podać w złotych polskich z dokładnością do dwóch miejsc po przecinku. Cena powinna obejmować całkowity koszt realizacji zamówienia objętego zapytaniem ofertowym.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spacing w:lineRule="auto" w:line="240"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eastAsiaTheme="minorHAnsi"/>
          <w:b/>
          <w:sz w:val="24"/>
          <w:szCs w:val="24"/>
        </w:rPr>
        <w:t xml:space="preserve">Łączna cena brutto – C(1): </w:t>
      </w:r>
      <w:r>
        <w:rPr>
          <w:rFonts w:ascii="Times New Roman" w:hAnsi="Times New Roman" w:cs="Times New Roman" w:eastAsiaTheme="minorHAnsi"/>
          <w:sz w:val="24"/>
          <w:szCs w:val="24"/>
        </w:rPr>
        <w:t xml:space="preserve">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spacing w:lineRule="auto" w:line="240" w:after="0"/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</w:pPr>
      <w:r>
        <w:rPr>
          <w:rFonts w:ascii="Times New Roman" w:hAnsi="Times New Roman" w:cs="Times New Roman" w:eastAsiaTheme="minorHAnsi"/>
          <w:b/>
          <w:sz w:val="24"/>
          <w:szCs w:val="24"/>
          <w:lang w:val="en-US"/>
        </w:rPr>
        <w:t xml:space="preserve">C(1) = (C</w:t>
      </w:r>
      <w:r>
        <w:rPr>
          <w:rFonts w:ascii="Times New Roman" w:hAnsi="Times New Roman" w:cs="Times New Roman" w:eastAsiaTheme="minorHAnsi"/>
          <w:b/>
          <w:sz w:val="24"/>
          <w:szCs w:val="24"/>
          <w:vertAlign w:val="subscript"/>
          <w:lang w:val="en-US"/>
        </w:rPr>
        <w:t xml:space="preserve">OF min</w:t>
      </w:r>
      <w:r>
        <w:rPr>
          <w:rFonts w:ascii="Times New Roman" w:hAnsi="Times New Roman" w:cs="Times New Roman" w:eastAsiaTheme="minorHAnsi"/>
          <w:b/>
          <w:sz w:val="24"/>
          <w:szCs w:val="24"/>
          <w:lang w:val="en-US"/>
        </w:rPr>
        <w:t xml:space="preserve"> / C</w:t>
      </w:r>
      <w:r>
        <w:rPr>
          <w:rFonts w:ascii="Times New Roman" w:hAnsi="Times New Roman" w:cs="Times New Roman" w:eastAsiaTheme="minorHAnsi"/>
          <w:b/>
          <w:sz w:val="24"/>
          <w:szCs w:val="24"/>
          <w:vertAlign w:val="subscript"/>
          <w:lang w:val="en-US"/>
        </w:rPr>
        <w:t xml:space="preserve">OF n</w:t>
      </w:r>
      <w:r>
        <w:rPr>
          <w:rFonts w:ascii="Times New Roman" w:hAnsi="Times New Roman" w:cs="Times New Roman" w:eastAsiaTheme="minorHAnsi"/>
          <w:b/>
          <w:sz w:val="24"/>
          <w:szCs w:val="24"/>
          <w:lang w:val="en-US"/>
        </w:rPr>
        <w:t xml:space="preserve">)* 80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spacing w:lineRule="auto" w:line="240"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eastAsiaTheme="minorHAnsi"/>
          <w:b/>
          <w:sz w:val="24"/>
          <w:szCs w:val="24"/>
        </w:rPr>
        <w:t xml:space="preserve">gdzie: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Theme="minorHAnsi"/>
          <w:b/>
          <w:sz w:val="24"/>
          <w:szCs w:val="24"/>
        </w:rPr>
        <w:t xml:space="preserve">C(1)</w:t>
      </w:r>
      <w:r>
        <w:rPr>
          <w:rFonts w:ascii="Times New Roman" w:hAnsi="Times New Roman" w:cs="Times New Roman" w:eastAsiaTheme="minorHAnsi"/>
          <w:sz w:val="24"/>
          <w:szCs w:val="24"/>
        </w:rPr>
        <w:t xml:space="preserve"> – uzyskana liczba punktów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Theme="minorHAnsi"/>
          <w:b/>
          <w:sz w:val="24"/>
          <w:szCs w:val="24"/>
        </w:rPr>
        <w:t xml:space="preserve">C</w:t>
      </w:r>
      <w:r>
        <w:rPr>
          <w:rFonts w:ascii="Times New Roman" w:hAnsi="Times New Roman" w:cs="Times New Roman" w:eastAsiaTheme="minorHAnsi"/>
          <w:b/>
          <w:sz w:val="24"/>
          <w:szCs w:val="24"/>
          <w:vertAlign w:val="subscript"/>
        </w:rPr>
        <w:t xml:space="preserve">OF min</w:t>
      </w:r>
      <w:r>
        <w:rPr>
          <w:rFonts w:ascii="Times New Roman" w:hAnsi="Times New Roman" w:cs="Times New Roman" w:eastAsiaTheme="minorHAnsi"/>
          <w:sz w:val="24"/>
          <w:szCs w:val="24"/>
        </w:rPr>
        <w:t xml:space="preserve"> – najniższa oferowana cena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Theme="minorHAnsi"/>
          <w:b/>
          <w:sz w:val="24"/>
          <w:szCs w:val="24"/>
        </w:rPr>
        <w:t xml:space="preserve">C</w:t>
      </w:r>
      <w:r>
        <w:rPr>
          <w:rFonts w:ascii="Times New Roman" w:hAnsi="Times New Roman" w:cs="Times New Roman" w:eastAsiaTheme="minorHAnsi"/>
          <w:b/>
          <w:sz w:val="24"/>
          <w:szCs w:val="24"/>
          <w:vertAlign w:val="subscript"/>
        </w:rPr>
        <w:t xml:space="preserve">OF n</w:t>
      </w:r>
      <w:r>
        <w:rPr>
          <w:rFonts w:ascii="Times New Roman" w:hAnsi="Times New Roman" w:cs="Times New Roman" w:eastAsiaTheme="minorHAnsi"/>
          <w:sz w:val="24"/>
          <w:szCs w:val="24"/>
        </w:rPr>
        <w:t xml:space="preserve"> – cena badanej oferty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spacing w:lineRule="auto" w:line="240" w:after="0"/>
        <w:tabs>
          <w:tab w:val="left" w:pos="255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Theme="minorHAnsi"/>
          <w:sz w:val="24"/>
          <w:szCs w:val="24"/>
        </w:rPr>
        <w:t xml:space="preserve">W kryterium „Łączna  cena brutto” oferta z najniższą ceną otrzyma </w:t>
      </w:r>
      <w:r>
        <w:rPr>
          <w:rFonts w:ascii="Times New Roman" w:hAnsi="Times New Roman" w:cs="Times New Roman" w:eastAsiaTheme="minorHAnsi"/>
          <w:b/>
          <w:sz w:val="24"/>
          <w:szCs w:val="24"/>
        </w:rPr>
        <w:t xml:space="preserve">80</w:t>
      </w:r>
      <w:r>
        <w:rPr>
          <w:rFonts w:ascii="Times New Roman" w:hAnsi="Times New Roman" w:cs="Times New Roman" w:eastAsiaTheme="minorHAnsi"/>
          <w:sz w:val="24"/>
          <w:szCs w:val="24"/>
        </w:rPr>
        <w:t xml:space="preserve"> punktów, a pozostałe oferty po matematycznym przeliczeniu w odniesieniu do najniższej ceny odpowiednio mniej.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spacing w:lineRule="auto" w:line="240" w:after="0"/>
        <w:tabs>
          <w:tab w:val="left" w:pos="255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Theme="minorHAnsi"/>
          <w:sz w:val="24"/>
          <w:szCs w:val="24"/>
        </w:rPr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spacing w:lineRule="auto" w:line="240" w:after="0"/>
        <w:tabs>
          <w:tab w:val="left" w:pos="255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Theme="minorHAnsi"/>
          <w:b/>
          <w:sz w:val="24"/>
          <w:szCs w:val="24"/>
          <w:u w:val="single"/>
        </w:rPr>
        <w:t xml:space="preserve">Punkty w kryterium Nr 2 „Doświadczenie personelu” C(2) zostaną przyznane następująco: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Theme="minorHAnsi"/>
          <w:sz w:val="24"/>
          <w:szCs w:val="24"/>
        </w:rPr>
        <w:t xml:space="preserve">Zamawiający za kryterium „Doświadczenie personelu” przyzna maksymalnie 20 punktów. Punkty zostaną przyznane według następujących zasad: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spacing w:lineRule="auto" w:line="240" w:after="0"/>
        <w:widowControl w:val="off"/>
        <w:rPr>
          <w:rFonts w:ascii="Times New Roman" w:hAnsi="Times New Roman" w:cs="Times New Roman"/>
        </w:rPr>
      </w:pPr>
      <w:r>
        <w:rPr>
          <w:rFonts w:ascii="Times New Roman" w:hAnsi="Times New Roman" w:cs="Times New Roman" w:eastAsiaTheme="minorHAnsi"/>
          <w:sz w:val="24"/>
          <w:szCs w:val="24"/>
        </w:rPr>
        <w:t xml:space="preserve">Za każde udokumentowane doświadczenie personelu w świadczeniu usług objętych ofertą  przyznane zostanie 5 pkt, przy czym punkty przyznawane </w:t>
      </w:r>
      <w:r>
        <w:rPr>
          <w:rFonts w:ascii="Times New Roman" w:hAnsi="Times New Roman" w:cs="Times New Roman" w:eastAsiaTheme="minorHAnsi"/>
          <w:sz w:val="24"/>
          <w:szCs w:val="24"/>
        </w:rPr>
        <w:t xml:space="preserve">będą za drugie i kolejne udokumentowane doświadczenie. Za jedną jednostkę podlegającą ocenie punktowej Zamawiający przyjmuje udokumentowane </w:t>
      </w:r>
      <w:r>
        <w:rPr>
          <w:rFonts w:eastAsiaTheme="minorHAnsi"/>
          <w:bCs/>
          <w:sz w:val="24"/>
        </w:rPr>
        <w:t xml:space="preserve">minimum 1 rok </w:t>
      </w:r>
      <w:r>
        <w:rPr>
          <w:rFonts w:ascii="Times New Roman" w:hAnsi="Times New Roman" w:cs="Times New Roman" w:eastAsia="Times New Roman" w:eastAsiaTheme="minorHAnsi"/>
          <w:bCs/>
          <w:sz w:val="24"/>
        </w:rPr>
        <w:t xml:space="preserve">doświadczenia w dziedzinie protetyki/higieny jamy ustnej/stomatologii lub 10 godzin przeprowadzonego wsparcia w ww. zakresie.</w:t>
      </w:r>
      <w:r>
        <w:rPr>
          <w:rFonts w:ascii="Times New Roman" w:hAnsi="Times New Roman" w:cs="Times New Roman" w:eastAsiaTheme="minorHAnsi"/>
          <w:sz w:val="24"/>
          <w:szCs w:val="24"/>
        </w:rPr>
        <w:t xml:space="preserve"> Zamawiający nie przewiduje punktowania cząstkowego.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spacing w:lineRule="auto" w:line="240" w:after="0"/>
        <w:widowControl w:val="off"/>
        <w:rPr>
          <w:rFonts w:ascii="Times New Roman" w:hAnsi="Times New Roman" w:cs="Times New Roman"/>
        </w:rPr>
      </w:pPr>
      <w:r>
        <w:rPr>
          <w:rFonts w:ascii="Times New Roman" w:hAnsi="Times New Roman" w:cs="Times New Roman" w:eastAsiaTheme="minorHAnsi"/>
          <w:sz w:val="24"/>
          <w:szCs w:val="24"/>
        </w:rPr>
        <w:t xml:space="preserve">W przypadku nie dołączenia do oferty dokumentów potwierdzających doświadczenie  personelu Zamawiający przyjmie 0 punktów w omawianym kryterium. W przypadku wskazania więcej niż jednej osoby jako personelu brana będzie pod uwagę jedna osoba z największym </w:t>
      </w:r>
      <w:r>
        <w:rPr>
          <w:rFonts w:ascii="Times New Roman" w:hAnsi="Times New Roman" w:cs="Times New Roman" w:eastAsiaTheme="minorHAnsi"/>
          <w:sz w:val="24"/>
          <w:szCs w:val="24"/>
        </w:rPr>
        <w:t xml:space="preserve">doświadczeniem.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spacing w:lineRule="auto" w:line="240" w:after="0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Theme="minorHAnsi"/>
          <w:sz w:val="24"/>
          <w:szCs w:val="24"/>
        </w:rPr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Theme="minorHAnsi"/>
          <w:sz w:val="24"/>
          <w:szCs w:val="24"/>
        </w:rPr>
        <w:t xml:space="preserve">Ocena dokonywana będzie według następującego wzoru: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 w:eastAsiaTheme="minorHAnsi"/>
          <w:sz w:val="24"/>
          <w:szCs w:val="24"/>
        </w:rPr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spacing w:lineRule="auto" w:line="240" w:after="0"/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</w:pPr>
      <w:r>
        <w:rPr>
          <w:rFonts w:ascii="Times New Roman" w:hAnsi="Times New Roman" w:cs="Times New Roman" w:eastAsiaTheme="minorHAnsi"/>
          <w:b/>
          <w:sz w:val="24"/>
          <w:szCs w:val="24"/>
          <w:lang w:val="en-US"/>
        </w:rPr>
        <w:t xml:space="preserve">C(2) = (</w:t>
      </w:r>
      <w:r>
        <w:rPr>
          <w:rFonts w:ascii="Times New Roman" w:hAnsi="Times New Roman" w:cs="Times New Roman" w:eastAsiaTheme="minorHAnsi"/>
          <w:b/>
          <w:sz w:val="24"/>
          <w:szCs w:val="24"/>
          <w:lang w:val="en-US"/>
        </w:rPr>
        <w:t xml:space="preserve">C</w:t>
      </w:r>
      <w:r>
        <w:rPr>
          <w:rFonts w:ascii="Times New Roman" w:hAnsi="Times New Roman" w:cs="Times New Roman" w:eastAsiaTheme="minorHAnsi"/>
          <w:b/>
          <w:sz w:val="24"/>
          <w:szCs w:val="24"/>
          <w:vertAlign w:val="subscript"/>
          <w:lang w:val="en-US"/>
        </w:rPr>
        <w:t xml:space="preserve">dof</w:t>
      </w:r>
      <w:r>
        <w:rPr>
          <w:rFonts w:ascii="Times New Roman" w:hAnsi="Times New Roman" w:cs="Times New Roman" w:eastAsiaTheme="minorHAnsi"/>
          <w:b/>
          <w:sz w:val="24"/>
          <w:szCs w:val="24"/>
          <w:lang w:val="en-US"/>
        </w:rPr>
        <w:t xml:space="preserve"> / C</w:t>
      </w:r>
      <w:r>
        <w:rPr>
          <w:rFonts w:ascii="Times New Roman" w:hAnsi="Times New Roman" w:cs="Times New Roman" w:eastAsiaTheme="minorHAnsi"/>
          <w:b/>
          <w:sz w:val="24"/>
          <w:szCs w:val="24"/>
          <w:vertAlign w:val="subscript"/>
          <w:lang w:val="en-US"/>
        </w:rPr>
        <w:t xml:space="preserve">d max</w:t>
      </w:r>
      <w:r>
        <w:rPr>
          <w:rFonts w:ascii="Times New Roman" w:hAnsi="Times New Roman" w:cs="Times New Roman" w:eastAsiaTheme="minorHAnsi"/>
          <w:b/>
          <w:sz w:val="24"/>
          <w:szCs w:val="24"/>
          <w:lang w:val="en-US"/>
        </w:rPr>
        <w:t xml:space="preserve">)* 20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spacing w:lineRule="auto" w:line="24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 w:eastAsiaTheme="minorHAnsi"/>
          <w:b/>
          <w:sz w:val="24"/>
          <w:szCs w:val="24"/>
        </w:rPr>
        <w:t xml:space="preserve">gdzie: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spacing w:lineRule="auto" w:line="24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 w:eastAsiaTheme="minorHAnsi"/>
          <w:b/>
          <w:sz w:val="24"/>
          <w:szCs w:val="24"/>
        </w:rPr>
        <w:t xml:space="preserve">C(2)</w:t>
      </w:r>
      <w:r>
        <w:rPr>
          <w:rFonts w:ascii="Times New Roman" w:hAnsi="Times New Roman" w:cs="Times New Roman" w:eastAsiaTheme="minorHAnsi"/>
          <w:sz w:val="24"/>
          <w:szCs w:val="24"/>
        </w:rPr>
        <w:t xml:space="preserve"> – uzyskana liczba punktów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spacing w:lineRule="auto" w:line="24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 w:eastAsiaTheme="minorHAnsi"/>
          <w:b/>
          <w:sz w:val="24"/>
          <w:szCs w:val="24"/>
        </w:rPr>
        <w:t xml:space="preserve">C</w:t>
      </w:r>
      <w:r>
        <w:rPr>
          <w:rFonts w:ascii="Times New Roman" w:hAnsi="Times New Roman" w:cs="Times New Roman" w:eastAsiaTheme="minorHAnsi"/>
          <w:b/>
          <w:sz w:val="24"/>
          <w:szCs w:val="24"/>
          <w:vertAlign w:val="subscript"/>
        </w:rPr>
        <w:t xml:space="preserve">d max</w:t>
      </w:r>
      <w:r>
        <w:rPr>
          <w:rFonts w:ascii="Times New Roman" w:hAnsi="Times New Roman" w:cs="Times New Roman" w:eastAsiaTheme="minorHAnsi"/>
          <w:sz w:val="24"/>
          <w:szCs w:val="24"/>
        </w:rPr>
        <w:t xml:space="preserve"> – najwyższa ilość punktów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spacing w:lineRule="auto" w:line="24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 w:eastAsiaTheme="minorHAnsi"/>
          <w:b/>
          <w:sz w:val="24"/>
          <w:szCs w:val="24"/>
        </w:rPr>
        <w:t xml:space="preserve">C</w:t>
      </w:r>
      <w:r>
        <w:rPr>
          <w:rFonts w:ascii="Times New Roman" w:hAnsi="Times New Roman" w:cs="Times New Roman" w:eastAsiaTheme="minorHAnsi"/>
          <w:b/>
          <w:sz w:val="24"/>
          <w:szCs w:val="24"/>
          <w:vertAlign w:val="subscript"/>
        </w:rPr>
        <w:t xml:space="preserve">dof</w:t>
      </w:r>
      <w:r>
        <w:rPr>
          <w:rFonts w:ascii="Times New Roman" w:hAnsi="Times New Roman" w:cs="Times New Roman" w:eastAsiaTheme="minorHAnsi"/>
          <w:b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 w:eastAsiaTheme="minorHAnsi"/>
          <w:sz w:val="24"/>
          <w:szCs w:val="24"/>
        </w:rPr>
        <w:t xml:space="preserve"> – ilość punktów badanej oferty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 w:eastAsiaTheme="minorHAnsi"/>
          <w:sz w:val="24"/>
          <w:szCs w:val="24"/>
        </w:rPr>
      </w:r>
      <w:r>
        <w:rPr>
          <w:rFonts w:eastAsiaTheme="minorHAnsi"/>
        </w:rPr>
      </w:r>
      <w:r>
        <w:rPr>
          <w:rFonts w:eastAsiaTheme="minorHAnsi"/>
        </w:rPr>
      </w:r>
    </w:p>
    <w:p>
      <w:pPr>
        <w:spacing w:lineRule="auto" w:line="240" w:after="0"/>
        <w:tabs>
          <w:tab w:val="left" w:pos="2550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eastAsiaTheme="minorHAnsi"/>
          <w:b/>
          <w:sz w:val="24"/>
          <w:szCs w:val="24"/>
        </w:rPr>
        <w:t xml:space="preserve">Łączna ocena punktowa oferty obliczona zostanie według poniższego wzoru: </w:t>
      </w:r>
      <w:r>
        <w:rPr>
          <w:rFonts w:ascii="Times New Roman" w:hAnsi="Times New Roman" w:cs="Times New Roman" w:eastAsiaTheme="minorHAnsi"/>
          <w:sz w:val="24"/>
          <w:szCs w:val="24"/>
        </w:rPr>
        <w:br/>
      </w:r>
      <w:r>
        <w:rPr>
          <w:rFonts w:ascii="Times New Roman" w:hAnsi="Times New Roman" w:cs="Times New Roman" w:eastAsiaTheme="minorHAnsi"/>
          <w:b/>
          <w:sz w:val="24"/>
          <w:szCs w:val="24"/>
        </w:rPr>
        <w:t xml:space="preserve">OP = C (1) + C (2)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spacing w:lineRule="auto" w:line="240" w:after="0"/>
        <w:tabs>
          <w:tab w:val="left" w:pos="255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Theme="minorHAnsi"/>
          <w:b/>
          <w:sz w:val="24"/>
          <w:szCs w:val="24"/>
        </w:rPr>
        <w:t xml:space="preserve">gdzie:</w:t>
      </w:r>
      <w:r>
        <w:rPr>
          <w:rFonts w:ascii="Times New Roman" w:hAnsi="Times New Roman" w:cs="Times New Roman" w:eastAsiaTheme="minorHAnsi"/>
          <w:sz w:val="24"/>
          <w:szCs w:val="24"/>
        </w:rPr>
        <w:br/>
      </w:r>
      <w:r>
        <w:rPr>
          <w:rFonts w:ascii="Times New Roman" w:hAnsi="Times New Roman" w:cs="Times New Roman" w:eastAsiaTheme="minorHAnsi"/>
          <w:b/>
          <w:sz w:val="24"/>
          <w:szCs w:val="24"/>
        </w:rPr>
        <w:t xml:space="preserve">OP</w:t>
      </w:r>
      <w:r>
        <w:rPr>
          <w:rFonts w:ascii="Times New Roman" w:hAnsi="Times New Roman" w:cs="Times New Roman" w:eastAsiaTheme="minorHAnsi"/>
          <w:sz w:val="24"/>
          <w:szCs w:val="24"/>
        </w:rPr>
        <w:t xml:space="preserve"> – punktowa ocena badanej oferty</w:t>
      </w:r>
      <w:r>
        <w:rPr>
          <w:rFonts w:ascii="Times New Roman" w:hAnsi="Times New Roman" w:cs="Times New Roman" w:eastAsiaTheme="minorHAnsi"/>
          <w:sz w:val="24"/>
          <w:szCs w:val="24"/>
        </w:rPr>
        <w:br/>
      </w:r>
      <w:r>
        <w:rPr>
          <w:rFonts w:ascii="Times New Roman" w:hAnsi="Times New Roman" w:cs="Times New Roman" w:eastAsiaTheme="minorHAnsi"/>
          <w:b/>
          <w:sz w:val="24"/>
          <w:szCs w:val="24"/>
        </w:rPr>
        <w:t xml:space="preserve">C (1) – </w:t>
      </w:r>
      <w:r>
        <w:rPr>
          <w:rFonts w:ascii="Times New Roman" w:hAnsi="Times New Roman" w:cs="Times New Roman" w:eastAsiaTheme="minorHAnsi"/>
          <w:sz w:val="24"/>
          <w:szCs w:val="24"/>
        </w:rPr>
        <w:t xml:space="preserve">punktowa ocena w kryterium „Łączna cena brutto”</w:t>
      </w:r>
      <w:r>
        <w:rPr>
          <w:rFonts w:ascii="Times New Roman" w:hAnsi="Times New Roman" w:cs="Times New Roman" w:eastAsiaTheme="minorHAnsi"/>
          <w:b/>
          <w:sz w:val="24"/>
          <w:szCs w:val="24"/>
        </w:rPr>
        <w:br/>
        <w:t xml:space="preserve">C</w:t>
      </w:r>
      <w:r>
        <w:rPr>
          <w:rFonts w:ascii="Times New Roman" w:hAnsi="Times New Roman" w:cs="Times New Roman" w:eastAsiaTheme="minorHAnsi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HAnsi"/>
          <w:b/>
          <w:bCs/>
          <w:sz w:val="24"/>
          <w:szCs w:val="24"/>
        </w:rPr>
        <w:t xml:space="preserve">(2) </w:t>
      </w:r>
      <w:r>
        <w:rPr>
          <w:rFonts w:ascii="Times New Roman" w:hAnsi="Times New Roman" w:cs="Times New Roman" w:eastAsiaTheme="minorHAnsi"/>
          <w:sz w:val="24"/>
          <w:szCs w:val="24"/>
        </w:rPr>
        <w:t xml:space="preserve">– punktowa ocena w kryterium „Doświadczenie personelu”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spacing w:lineRule="auto" w:line="240" w:after="0"/>
        <w:tabs>
          <w:tab w:val="left" w:pos="255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Theme="minorHAnsi"/>
          <w:sz w:val="24"/>
          <w:szCs w:val="24"/>
        </w:rPr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55"/>
        <w:numPr>
          <w:ilvl w:val="0"/>
          <w:numId w:val="9"/>
        </w:numPr>
        <w:ind w:left="360"/>
        <w:jc w:val="both"/>
      </w:pPr>
      <w:r>
        <w:rPr>
          <w:rFonts w:eastAsiaTheme="minorHAnsi"/>
        </w:rPr>
        <w:t xml:space="preserve">Wszystkie obliczenia będą dokonywane z dokładnością do dwóch miejsc po przecinku.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55"/>
        <w:numPr>
          <w:ilvl w:val="0"/>
          <w:numId w:val="9"/>
        </w:numPr>
        <w:ind w:left="360"/>
        <w:jc w:val="both"/>
      </w:pPr>
      <w:r>
        <w:rPr>
          <w:rFonts w:eastAsiaTheme="minorHAnsi"/>
          <w:bCs/>
        </w:rPr>
        <w:t xml:space="preserve">Na podstawie przyznanych punktów Zamawiający utworzy listę rankingową Wykonawców. Z listy rankingowej do realizacji zamówienia zostanie wyłoniony Wykonawca, który otrzyma największą liczbę punktów.  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55"/>
        <w:numPr>
          <w:ilvl w:val="0"/>
          <w:numId w:val="9"/>
        </w:numPr>
        <w:ind w:left="360"/>
        <w:jc w:val="both"/>
      </w:pPr>
      <w:r>
        <w:rPr>
          <w:rFonts w:eastAsiaTheme="minorHAnsi"/>
          <w:bCs/>
        </w:rPr>
        <w:t xml:space="preserve">Wykonawca, którego oferta zostanie wybrana będzie wezwany do podpisania umowy – wzór umowy stanowi </w:t>
      </w:r>
      <w:r>
        <w:rPr>
          <w:rFonts w:eastAsiaTheme="minorHAnsi"/>
          <w:bCs/>
          <w:u w:val="single"/>
        </w:rPr>
        <w:t xml:space="preserve">Załącznik nr 5 do niniejszego zapytania ofertowego</w:t>
      </w:r>
      <w:r>
        <w:rPr>
          <w:rFonts w:eastAsiaTheme="minorHAnsi"/>
          <w:bCs/>
        </w:rPr>
        <w:t xml:space="preserve">.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55"/>
        <w:numPr>
          <w:ilvl w:val="0"/>
          <w:numId w:val="9"/>
        </w:numPr>
        <w:ind w:left="360"/>
        <w:jc w:val="both"/>
      </w:pPr>
      <w:r>
        <w:rPr>
          <w:rFonts w:eastAsiaTheme="minorHAnsi"/>
          <w:bCs/>
        </w:rPr>
        <w:t xml:space="preserve">Wykonawca składający ofertę oświadcza, że zapoznał się z treścią załączonego wzoru umowy i nie wnosi do jej treści żadnych uwag.  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55"/>
        <w:numPr>
          <w:ilvl w:val="0"/>
          <w:numId w:val="9"/>
        </w:numPr>
        <w:ind w:left="360"/>
        <w:jc w:val="both"/>
      </w:pPr>
      <w:r>
        <w:rPr>
          <w:rFonts w:eastAsiaTheme="minorHAnsi"/>
          <w:bCs/>
        </w:rPr>
        <w:t xml:space="preserve">Zamawiający nie przewiduje procedury odwoławczej.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spacing w:lineRule="auto" w:line="240"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eastAsiaTheme="minorHAnsi"/>
          <w:b/>
          <w:sz w:val="24"/>
          <w:szCs w:val="24"/>
        </w:rPr>
        <w:t xml:space="preserve">XIII. MIEJSCE I TERMIN SKŁADANIA OFERTY, TERMIN ZWIĄZANIA OFERTĄ ORAZ SPOSÓB  DOSTARCZENIA OFERTY: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20"/>
        <w:numPr>
          <w:ilvl w:val="3"/>
          <w:numId w:val="12"/>
        </w:numPr>
        <w:ind w:left="426" w:hanging="426"/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Theme="minorHAnsi"/>
          <w:sz w:val="24"/>
          <w:szCs w:val="24"/>
        </w:rPr>
        <w:t xml:space="preserve">Oferty w wersji papierowej należy składać w zamkniętej kopercie oznaczonej następująco: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ind w:left="426"/>
        <w:jc w:val="both"/>
        <w:spacing w:lineRule="auto" w:line="240" w:after="0"/>
        <w:tabs>
          <w:tab w:val="left" w:pos="2100" w:leader="none"/>
        </w:tabs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 w:eastAsiaTheme="minorHAnsi"/>
          <w:b/>
          <w:sz w:val="24"/>
          <w:szCs w:val="24"/>
        </w:rPr>
        <w:t xml:space="preserve">„Oferta na wykonanie usługi w zakresie poradnictwa dietetycznego</w:t>
      </w:r>
      <w:r>
        <w:rPr>
          <w:rFonts w:ascii="Times New Roman" w:hAnsi="Times New Roman" w:cs="Times New Roman" w:eastAsiaTheme="minorHAnsi"/>
          <w:sz w:val="24"/>
          <w:szCs w:val="24"/>
        </w:rPr>
        <w:t xml:space="preserve">, </w:t>
      </w:r>
      <w:r>
        <w:rPr>
          <w:rFonts w:ascii="Times New Roman" w:hAnsi="Times New Roman" w:cs="Times New Roman" w:eastAsiaTheme="minorHAnsi"/>
          <w:b/>
          <w:bCs/>
          <w:color w:val="000000" w:themeColor="text1"/>
          <w:sz w:val="24"/>
          <w:szCs w:val="24"/>
        </w:rPr>
        <w:t xml:space="preserve">nie otwierać przed </w:t>
      </w:r>
      <w:r>
        <w:rPr>
          <w:rFonts w:ascii="Times New Roman" w:hAnsi="Times New Roman" w:cs="Times New Roman" w:eastAsiaTheme="minorHAnsi"/>
          <w:b/>
          <w:bCs/>
          <w:color w:val="000000" w:themeColor="text1"/>
          <w:sz w:val="24"/>
          <w:szCs w:val="24"/>
        </w:rPr>
        <w:t xml:space="preserve">30</w:t>
      </w:r>
      <w:r>
        <w:rPr>
          <w:rFonts w:ascii="Times New Roman" w:hAnsi="Times New Roman" w:cs="Times New Roman" w:eastAsiaTheme="minorHAnsi"/>
          <w:b/>
          <w:bCs/>
          <w:color w:val="000000" w:themeColor="text1"/>
          <w:sz w:val="24"/>
          <w:szCs w:val="24"/>
        </w:rPr>
        <w:t xml:space="preserve">.</w:t>
      </w:r>
      <w:r>
        <w:rPr>
          <w:rFonts w:ascii="Times New Roman" w:hAnsi="Times New Roman" w:cs="Times New Roman" w:eastAsiaTheme="minorHAnsi"/>
          <w:b/>
          <w:bCs/>
          <w:color w:val="000000" w:themeColor="text1"/>
          <w:sz w:val="24"/>
          <w:szCs w:val="24"/>
        </w:rPr>
        <w:t xml:space="preserve">03</w:t>
      </w:r>
      <w:r>
        <w:rPr>
          <w:rFonts w:ascii="Times New Roman" w:hAnsi="Times New Roman" w:cs="Times New Roman" w:eastAsiaTheme="minorHAnsi"/>
          <w:b/>
          <w:bCs/>
          <w:color w:val="000000" w:themeColor="text1"/>
          <w:sz w:val="24"/>
          <w:szCs w:val="24"/>
        </w:rPr>
        <w:t xml:space="preserve">.2022 r. do godz. 15.00”.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20"/>
        <w:numPr>
          <w:ilvl w:val="3"/>
          <w:numId w:val="12"/>
        </w:numPr>
        <w:ind w:left="426" w:hanging="426"/>
        <w:jc w:val="both"/>
        <w:spacing w:lineRule="auto" w:line="240" w:after="0"/>
        <w:tabs>
          <w:tab w:val="left" w:pos="42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Theme="minorHAnsi"/>
          <w:sz w:val="24"/>
          <w:szCs w:val="24"/>
        </w:rPr>
        <w:t xml:space="preserve">Oferty w formie papierowej powinny zostać dostarczone osobiście, pocztą tradycyjną lub kurierem na adres biura Zamawiającego: Centrum Integracji Społecznej w Ustce, ul. Wiejska 10, 76-270 Ustka.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20"/>
        <w:numPr>
          <w:ilvl w:val="3"/>
          <w:numId w:val="12"/>
        </w:numPr>
        <w:ind w:left="426" w:hanging="426"/>
        <w:jc w:val="both"/>
        <w:spacing w:lineRule="auto" w:line="240" w:after="0"/>
        <w:tabs>
          <w:tab w:val="left" w:pos="42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Theme="minorHAnsi"/>
          <w:sz w:val="24"/>
          <w:szCs w:val="24"/>
        </w:rPr>
        <w:t xml:space="preserve">Oferty należy składać do dnia </w:t>
      </w:r>
      <w:r>
        <w:rPr>
          <w:rFonts w:ascii="Times New Roman" w:hAnsi="Times New Roman" w:cs="Times New Roman" w:eastAsiaTheme="minorHAnsi"/>
          <w:b/>
          <w:sz w:val="24"/>
          <w:szCs w:val="24"/>
        </w:rPr>
        <w:t xml:space="preserve">30</w:t>
      </w:r>
      <w:r>
        <w:rPr>
          <w:rFonts w:ascii="Times New Roman" w:hAnsi="Times New Roman" w:cs="Times New Roman" w:eastAsiaTheme="minorHAnsi"/>
          <w:b/>
          <w:sz w:val="24"/>
          <w:szCs w:val="24"/>
        </w:rPr>
        <w:t xml:space="preserve">.</w:t>
      </w:r>
      <w:r>
        <w:rPr>
          <w:rFonts w:ascii="Times New Roman" w:hAnsi="Times New Roman" w:cs="Times New Roman" w:eastAsiaTheme="minorHAnsi"/>
          <w:b/>
          <w:sz w:val="24"/>
          <w:szCs w:val="24"/>
        </w:rPr>
        <w:t xml:space="preserve">03</w:t>
      </w:r>
      <w:r>
        <w:rPr>
          <w:rFonts w:ascii="Times New Roman" w:hAnsi="Times New Roman" w:cs="Times New Roman" w:eastAsiaTheme="minorHAnsi"/>
          <w:b/>
          <w:sz w:val="24"/>
          <w:szCs w:val="24"/>
        </w:rPr>
        <w:t xml:space="preserve">.2</w:t>
      </w:r>
      <w:r>
        <w:rPr>
          <w:rFonts w:ascii="Times New Roman" w:hAnsi="Times New Roman" w:cs="Times New Roman" w:eastAsiaTheme="minorHAnsi"/>
          <w:b/>
          <w:sz w:val="24"/>
          <w:szCs w:val="24"/>
        </w:rPr>
        <w:t xml:space="preserve">022</w:t>
      </w:r>
      <w:r>
        <w:rPr>
          <w:rFonts w:ascii="Times New Roman" w:hAnsi="Times New Roman" w:cs="Times New Roman" w:eastAsiaTheme="minorHAnsi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HAnsi"/>
          <w:b/>
          <w:bCs/>
          <w:color w:val="000000" w:themeColor="text1"/>
          <w:sz w:val="24"/>
          <w:szCs w:val="24"/>
        </w:rPr>
        <w:t xml:space="preserve">r.</w:t>
      </w:r>
      <w:r>
        <w:rPr>
          <w:rFonts w:ascii="Times New Roman" w:hAnsi="Times New Roman" w:cs="Times New Roman" w:eastAsiaTheme="minorHAnsi"/>
          <w:b/>
          <w:sz w:val="24"/>
          <w:szCs w:val="24"/>
        </w:rPr>
        <w:t xml:space="preserve"> do godziny 15.00</w:t>
      </w:r>
      <w:r>
        <w:rPr>
          <w:rFonts w:ascii="Times New Roman" w:hAnsi="Times New Roman" w:cs="Times New Roman" w:eastAsiaTheme="minorHAnsi"/>
          <w:sz w:val="24"/>
          <w:szCs w:val="24"/>
        </w:rPr>
        <w:t xml:space="preserve"> (</w:t>
      </w:r>
      <w:r>
        <w:rPr>
          <w:rFonts w:ascii="Times New Roman" w:hAnsi="Times New Roman" w:cs="Times New Roman" w:eastAsiaTheme="minorHAnsi"/>
          <w:sz w:val="24"/>
          <w:szCs w:val="24"/>
        </w:rPr>
        <w:t xml:space="preserve">decyduje data i godzina wpływu do biura Zamawiającego). Oferty otrzymane przez Zamawiającego po terminie składania ofert zostaną zwrócone Wykonawcom bez ich otwierania.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20"/>
        <w:numPr>
          <w:ilvl w:val="3"/>
          <w:numId w:val="12"/>
        </w:numPr>
        <w:ind w:left="0" w:firstLine="0"/>
        <w:jc w:val="both"/>
        <w:spacing w:lineRule="auto" w:line="240" w:after="0"/>
        <w:tabs>
          <w:tab w:val="left" w:pos="42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Theme="minorHAnsi"/>
          <w:sz w:val="24"/>
          <w:szCs w:val="24"/>
        </w:rPr>
        <w:t xml:space="preserve"> Oferty powinny zostać dostarczone osobiście, pocztą tradycyjną lub kurierem na adres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20"/>
        <w:ind w:left="0"/>
        <w:jc w:val="both"/>
        <w:spacing w:lineRule="auto" w:line="240" w:after="0"/>
        <w:tabs>
          <w:tab w:val="left" w:pos="42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Theme="minorHAnsi"/>
          <w:sz w:val="24"/>
          <w:szCs w:val="24"/>
        </w:rPr>
        <w:t xml:space="preserve">        biura Zamawiającego.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20"/>
        <w:numPr>
          <w:ilvl w:val="3"/>
          <w:numId w:val="12"/>
        </w:numPr>
        <w:ind w:left="426" w:hanging="426"/>
        <w:jc w:val="both"/>
        <w:spacing w:lineRule="auto" w:line="240" w:after="0"/>
        <w:tabs>
          <w:tab w:val="left" w:pos="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Theme="minorHAnsi"/>
          <w:sz w:val="24"/>
          <w:szCs w:val="24"/>
        </w:rPr>
        <w:t xml:space="preserve">W przypadku oferty elektronicznej złożonej za pośrednictwem maila</w:t>
      </w:r>
      <w:r>
        <w:rPr>
          <w:rFonts w:ascii="Times New Roman" w:hAnsi="Times New Roman" w:cs="Times New Roman" w:eastAsiaTheme="minorHAnsi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HAnsi"/>
          <w:sz w:val="24"/>
          <w:szCs w:val="24"/>
        </w:rPr>
        <w:t xml:space="preserve">cis@cis.ustka.pl.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20"/>
        <w:numPr>
          <w:ilvl w:val="3"/>
          <w:numId w:val="12"/>
        </w:numPr>
        <w:ind w:left="426" w:hanging="426"/>
        <w:jc w:val="both"/>
        <w:spacing w:lineRule="auto" w:line="240" w:after="0"/>
        <w:tabs>
          <w:tab w:val="left" w:pos="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Theme="minorHAnsi"/>
          <w:sz w:val="24"/>
          <w:szCs w:val="24"/>
        </w:rPr>
        <w:t xml:space="preserve">Wykonawca pozostaje związany ofertą przez okres 30 dni od upływu terminu na składanie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20"/>
        <w:ind w:left="0"/>
        <w:jc w:val="both"/>
        <w:spacing w:lineRule="auto" w:line="240" w:after="0"/>
        <w:tabs>
          <w:tab w:val="left" w:pos="42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Theme="minorHAnsi"/>
          <w:sz w:val="24"/>
          <w:szCs w:val="24"/>
        </w:rPr>
        <w:t xml:space="preserve">       ofert.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20"/>
        <w:numPr>
          <w:ilvl w:val="3"/>
          <w:numId w:val="12"/>
        </w:numPr>
        <w:ind w:left="0" w:firstLine="0"/>
        <w:jc w:val="both"/>
        <w:spacing w:lineRule="auto" w:line="240" w:after="0"/>
        <w:tabs>
          <w:tab w:val="left" w:pos="42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Theme="minorHAnsi"/>
          <w:sz w:val="24"/>
          <w:szCs w:val="24"/>
        </w:rPr>
        <w:t xml:space="preserve">Koszty przygotowania oraz dostarczenia oferty ponosi Wykonawca.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20"/>
        <w:numPr>
          <w:ilvl w:val="3"/>
          <w:numId w:val="12"/>
        </w:numPr>
        <w:ind w:left="0" w:firstLine="0"/>
        <w:jc w:val="both"/>
        <w:spacing w:lineRule="auto" w:line="240" w:after="0"/>
        <w:tabs>
          <w:tab w:val="left" w:pos="42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Theme="minorHAnsi"/>
          <w:sz w:val="24"/>
          <w:szCs w:val="24"/>
        </w:rPr>
        <w:t xml:space="preserve">Brak odpowiedzi na złożoną ofertę nie stanowi zawarcia umowy.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20"/>
        <w:numPr>
          <w:ilvl w:val="3"/>
          <w:numId w:val="12"/>
        </w:numPr>
        <w:ind w:left="0" w:firstLine="0"/>
        <w:jc w:val="both"/>
        <w:spacing w:lineRule="auto" w:line="240" w:after="0"/>
        <w:tabs>
          <w:tab w:val="left" w:pos="42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Theme="minorHAnsi"/>
          <w:sz w:val="24"/>
          <w:szCs w:val="24"/>
        </w:rPr>
        <w:t xml:space="preserve">Wykonawca ma obowiązek dołączenia do oferty: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numPr>
          <w:ilvl w:val="0"/>
          <w:numId w:val="4"/>
        </w:numPr>
        <w:ind w:left="567" w:hanging="283"/>
        <w:jc w:val="both"/>
        <w:spacing w:lineRule="auto" w:line="240" w:after="0"/>
        <w:tabs>
          <w:tab w:val="left" w:pos="56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Theme="minorHAnsi"/>
          <w:sz w:val="24"/>
          <w:szCs w:val="24"/>
        </w:rPr>
        <w:t xml:space="preserve">oświadczenia o braku powiązań, stanowiącego integralną część zapytania ofertowego (załącznik nr 1 do zapytania ofertowego),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numPr>
          <w:ilvl w:val="0"/>
          <w:numId w:val="4"/>
        </w:numPr>
        <w:ind w:left="567" w:hanging="283"/>
        <w:jc w:val="both"/>
        <w:spacing w:lineRule="auto" w:line="240" w:after="0"/>
        <w:tabs>
          <w:tab w:val="left" w:pos="56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Theme="minorHAnsi"/>
          <w:sz w:val="24"/>
          <w:szCs w:val="24"/>
        </w:rPr>
        <w:t xml:space="preserve">wypełnionego formularza oferty (załącznik nr 2 do zapytania ofertowego),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numPr>
          <w:ilvl w:val="0"/>
          <w:numId w:val="4"/>
        </w:numPr>
        <w:ind w:left="567" w:hanging="283"/>
        <w:jc w:val="both"/>
        <w:spacing w:lineRule="auto" w:line="240" w:after="0"/>
        <w:tabs>
          <w:tab w:val="left" w:pos="56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Theme="minorHAnsi"/>
          <w:sz w:val="24"/>
          <w:szCs w:val="24"/>
        </w:rPr>
        <w:t xml:space="preserve">jeżeli uprawnienie do reprezentacji osoby podpisującej ofertę nie wynika z załączonego dokumentu  rejestrowego, do oferty należy dołączyć także pełnomocnictwo w oryginale lub kopii poświadczonej notarialnie (jeżeli dotyczy),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20"/>
        <w:numPr>
          <w:ilvl w:val="0"/>
          <w:numId w:val="4"/>
        </w:numPr>
        <w:ind w:left="426" w:hanging="142"/>
        <w:jc w:val="both"/>
        <w:spacing w:lineRule="auto" w:line="240" w:after="0"/>
        <w:tabs>
          <w:tab w:val="left" w:pos="56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Theme="minorHAnsi"/>
          <w:sz w:val="24"/>
          <w:szCs w:val="24"/>
        </w:rPr>
        <w:t xml:space="preserve">oświadczenia w zakresie wypełniania obowiązków informacyjnych RODO (Załącznik nr   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20"/>
        <w:ind w:left="426"/>
        <w:jc w:val="both"/>
        <w:spacing w:lineRule="auto" w:line="240" w:after="0"/>
        <w:tabs>
          <w:tab w:val="left" w:pos="56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Theme="minorHAnsi"/>
          <w:sz w:val="24"/>
          <w:szCs w:val="24"/>
        </w:rPr>
        <w:t xml:space="preserve">   3 do</w:t>
      </w:r>
      <w:r>
        <w:rPr>
          <w:rFonts w:eastAsiaTheme="minorHAnsi"/>
        </w:rPr>
        <w:t xml:space="preserve"> </w:t>
      </w:r>
      <w:r>
        <w:rPr>
          <w:rFonts w:ascii="Times New Roman" w:hAnsi="Times New Roman" w:cs="Times New Roman" w:eastAsiaTheme="minorHAnsi"/>
          <w:sz w:val="24"/>
          <w:szCs w:val="24"/>
        </w:rPr>
        <w:t xml:space="preserve">niniejszego zapytania ofertowego) jeżeli dotyczy.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spacing w:lineRule="auto" w:line="240" w:after="0"/>
        <w:tabs>
          <w:tab w:val="left" w:pos="56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Theme="minorHAnsi"/>
          <w:sz w:val="24"/>
          <w:szCs w:val="24"/>
        </w:rPr>
      </w:r>
      <w:r>
        <w:rPr>
          <w:rFonts w:eastAsiaTheme="minorHAnsi"/>
        </w:rPr>
      </w:r>
      <w:r>
        <w:rPr>
          <w:rFonts w:eastAsiaTheme="minorHAnsi"/>
        </w:rPr>
      </w:r>
    </w:p>
    <w:p>
      <w:pPr>
        <w:ind w:left="357" w:hanging="357"/>
        <w:jc w:val="both"/>
        <w:spacing w:lineRule="auto" w:line="240"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eastAsiaTheme="minorHAnsi"/>
          <w:b/>
          <w:sz w:val="24"/>
          <w:szCs w:val="24"/>
        </w:rPr>
        <w:t xml:space="preserve">XIV. OKREŚLENIE WARUNKÓW ISTOTNYCH ZMIAN UMOWY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spacing w:lineRule="auto" w:line="240" w:after="0"/>
        <w:rPr>
          <w:rFonts w:ascii="Times New Roman" w:hAnsi="Times New Roman" w:cs="Times New Roman" w:eastAsia="Arial Narrow"/>
          <w:sz w:val="24"/>
          <w:szCs w:val="24"/>
        </w:rPr>
      </w:pPr>
      <w:r>
        <w:rPr>
          <w:rFonts w:ascii="Times New Roman" w:hAnsi="Times New Roman" w:cs="Times New Roman" w:eastAsia="Arial Narrow" w:eastAsiaTheme="minorHAnsi"/>
          <w:sz w:val="24"/>
          <w:szCs w:val="24"/>
        </w:rPr>
        <w:t xml:space="preserve">Zamawiający zastrzega możliwość wprowadzenia istotnych zmian postanowień zawartej umowy – wszelkie zmiany umowy zostały określone we wzorze umowy stanowiącym </w:t>
      </w:r>
      <w:r>
        <w:rPr>
          <w:rFonts w:ascii="Times New Roman" w:hAnsi="Times New Roman" w:cs="Times New Roman" w:eastAsia="Arial Narrow" w:eastAsiaTheme="minorHAnsi"/>
          <w:sz w:val="24"/>
          <w:szCs w:val="24"/>
          <w:u w:val="single"/>
        </w:rPr>
        <w:t xml:space="preserve">Załącznik nr 5 do niniejszego zapytania ofertowego</w:t>
      </w:r>
      <w:r>
        <w:rPr>
          <w:rFonts w:ascii="Times New Roman" w:hAnsi="Times New Roman" w:cs="Times New Roman" w:eastAsia="Arial Narrow" w:eastAsiaTheme="minorHAnsi"/>
          <w:sz w:val="24"/>
          <w:szCs w:val="24"/>
        </w:rPr>
        <w:t xml:space="preserve">.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857"/>
        <w:spacing w:after="0" w:afterAutospacing="0" w:before="0" w:beforeAutospacing="0"/>
        <w:tabs>
          <w:tab w:val="center" w:pos="508" w:leader="none"/>
          <w:tab w:val="center" w:pos="2215" w:leader="none"/>
        </w:tabs>
        <w:rPr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XV. WYTYCZNE DOTYCZĄCE ROZPORZĄDZENIA PARLAMENTU EUROPEJSKIEGO I RADY (UE) 2016/679 Z DNIA 27 KWIETNIA 2016 r</w:t>
      </w:r>
      <w:r>
        <w:rPr>
          <w:rFonts w:eastAsiaTheme="minorHAnsi"/>
          <w:b w:val="false"/>
          <w:sz w:val="24"/>
          <w:szCs w:val="24"/>
        </w:rPr>
        <w:t xml:space="preserve">.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Theme="minorHAnsi"/>
          <w:sz w:val="24"/>
          <w:szCs w:val="24"/>
        </w:rPr>
        <w:t xml:space="preserve">1. Wykonawca ubiegając się o udzielenie zamówienia publicznego jest zobowiązany do wypełnienia wszystkich obowiązków formalno-prawnych związanych z udziałem </w:t>
      </w:r>
      <w:r>
        <w:rPr>
          <w:rFonts w:ascii="Times New Roman" w:hAnsi="Times New Roman" w:cs="Times New Roman" w:eastAsiaTheme="minorHAnsi"/>
          <w:sz w:val="24"/>
          <w:szCs w:val="24"/>
        </w:rPr>
        <w:br/>
        <w:t xml:space="preserve">w postępowaniu wynikających z rozporządzenia Parlamentu Europejskiego i Rady (UE) 2016/679 z dnia 27 kwietnia 2016 r. w sprawie ochrony osób fizycznych w związku </w:t>
      </w:r>
      <w:r>
        <w:rPr>
          <w:rFonts w:ascii="Times New Roman" w:hAnsi="Times New Roman" w:cs="Times New Roman" w:eastAsiaTheme="minorHAnsi"/>
          <w:sz w:val="24"/>
          <w:szCs w:val="24"/>
        </w:rPr>
        <w:br/>
        <w:t xml:space="preserve">z przetwarzaniem danych osobowych i w sprawie swobodnego przepływu takich danych oraz uchylenia dyrektywy 95/46/WE (Dz. Urz. UE L 119 z 04.05.2016, str. 1), zwanego dalej: RODO.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Theme="minorHAnsi"/>
          <w:sz w:val="24"/>
          <w:szCs w:val="24"/>
        </w:rPr>
        <w:t xml:space="preserve">2. Wykonawca jest zobowiązany do złożenia oświadczenia odnośnie zrealizowania obowiązku informacyjnego przewidzianego w art. 13 lub art.14 RODO według wzoru stanowiącego </w:t>
      </w:r>
      <w:r>
        <w:rPr>
          <w:rFonts w:ascii="Times New Roman" w:hAnsi="Times New Roman" w:cs="Times New Roman" w:eastAsiaTheme="minorHAnsi"/>
          <w:sz w:val="24"/>
          <w:szCs w:val="24"/>
          <w:u w:val="single"/>
        </w:rPr>
        <w:t xml:space="preserve">Załącznik nr 3 do niniejszego zapytania ofertowego</w:t>
      </w:r>
      <w:r>
        <w:rPr>
          <w:rFonts w:ascii="Times New Roman" w:hAnsi="Times New Roman" w:cs="Times New Roman" w:eastAsiaTheme="minorHAnsi"/>
          <w:sz w:val="24"/>
          <w:szCs w:val="24"/>
        </w:rPr>
        <w:t xml:space="preserve">.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jc w:val="both"/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Theme="minorHAnsi"/>
          <w:sz w:val="24"/>
          <w:szCs w:val="24"/>
        </w:rPr>
        <w:t xml:space="preserve">3. W przypadku zbierania danych osobowych bezpośrednio od osoby fizycznej, której dane dotyczą, w celu związanym z niniejszym postępowaniem o udzielenie zamówienia, Wykonawca zobowiązany jest do dołączenia do</w:t>
      </w:r>
      <w:r>
        <w:rPr>
          <w:rFonts w:ascii="Times New Roman" w:hAnsi="Times New Roman" w:cs="Times New Roman" w:eastAsiaTheme="minorHAnsi"/>
          <w:sz w:val="24"/>
          <w:szCs w:val="24"/>
        </w:rPr>
        <w:t xml:space="preserve"> oferty klauzuli informacyjnej podpisanej przez każdą osobę, która została wskazana w ofercie do wykonania przedmiotu zamówienia a jej dane osobowe zostały wskazane i są przetwarzane w trakcie postępowania o udzielenie zamówienia według wzoru stanowiącego </w:t>
      </w:r>
      <w:r>
        <w:rPr>
          <w:rFonts w:ascii="Times New Roman" w:hAnsi="Times New Roman" w:cs="Times New Roman" w:eastAsiaTheme="minorHAnsi"/>
          <w:sz w:val="24"/>
          <w:szCs w:val="24"/>
          <w:u w:val="single"/>
        </w:rPr>
        <w:t xml:space="preserve">Załącznik nr 4 do niniejszego zapytania ofertowego</w:t>
      </w:r>
      <w:r>
        <w:rPr>
          <w:rFonts w:ascii="Times New Roman" w:hAnsi="Times New Roman" w:cs="Times New Roman" w:eastAsiaTheme="minorHAnsi"/>
          <w:sz w:val="24"/>
          <w:szCs w:val="24"/>
        </w:rPr>
        <w:t xml:space="preserve">, co dotyczy w szczególności: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20"/>
        <w:numPr>
          <w:ilvl w:val="0"/>
          <w:numId w:val="10"/>
        </w:numPr>
        <w:ind w:left="360" w:right="0" w:hanging="77"/>
        <w:jc w:val="both"/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Theme="minorHAnsi"/>
          <w:sz w:val="24"/>
          <w:szCs w:val="24"/>
        </w:rPr>
        <w:t xml:space="preserve">Osoby fizycznej skierowanej do realizacji zamówienia.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20"/>
        <w:numPr>
          <w:ilvl w:val="0"/>
          <w:numId w:val="10"/>
        </w:numPr>
        <w:ind w:left="360" w:right="0" w:hanging="77"/>
        <w:jc w:val="both"/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Theme="minorHAnsi"/>
          <w:sz w:val="24"/>
          <w:szCs w:val="24"/>
        </w:rPr>
        <w:t xml:space="preserve">Podwykonawcy/ podmiotu trzeciego będącego osobą fizyczną.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20"/>
        <w:numPr>
          <w:ilvl w:val="0"/>
          <w:numId w:val="10"/>
        </w:numPr>
        <w:ind w:left="360" w:right="0" w:hanging="77"/>
        <w:jc w:val="both"/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Theme="minorHAnsi"/>
          <w:sz w:val="24"/>
          <w:szCs w:val="24"/>
        </w:rPr>
        <w:t xml:space="preserve">Pełnomocnika podwykonawcy / podmiotu trzeciego będący osobą fizyczną.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20"/>
        <w:numPr>
          <w:ilvl w:val="0"/>
          <w:numId w:val="10"/>
        </w:numPr>
        <w:ind w:left="360" w:right="0" w:hanging="77"/>
        <w:jc w:val="both"/>
        <w:spacing w:lineRule="auto" w:line="240"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eastAsiaTheme="minorHAnsi"/>
          <w:sz w:val="24"/>
          <w:szCs w:val="24"/>
        </w:rPr>
        <w:t xml:space="preserve">Członka organu zarządzającego podwykonawcy / podmiotu trzeciego. Wykonawca jest zobowiązany do złożenia oświadczenia odnośnie spełniania wymagań rozporządzenia Parlamentu Europejskiego i Rad</w:t>
      </w:r>
      <w:r>
        <w:rPr>
          <w:rFonts w:ascii="Times New Roman" w:hAnsi="Times New Roman" w:cs="Times New Roman" w:eastAsiaTheme="minorHAnsi"/>
          <w:sz w:val="24"/>
          <w:szCs w:val="24"/>
        </w:rPr>
        <w:t xml:space="preserve">y (UE) 2016/679 z dnia 27 kwietnia 2016 r. w sprawie ochrony osób fizycznych w związku z przetwarzaniem danych osobowych i w sprawie swobodnego przepływu takich danych oraz uchylenia dyrektywy 95/46/WE (Dz. Urz. UE L 119 z 04.05.2016, str. 1) dalej: RODO.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ind w:left="360" w:hanging="360"/>
        <w:jc w:val="both"/>
        <w:spacing w:lineRule="auto" w:line="240"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eastAsiaTheme="minorHAnsi"/>
          <w:b/>
          <w:sz w:val="24"/>
          <w:szCs w:val="24"/>
        </w:rPr>
        <w:t xml:space="preserve">  INFORMACJE DODATKOWE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20"/>
        <w:numPr>
          <w:ilvl w:val="1"/>
          <w:numId w:val="5"/>
        </w:numPr>
        <w:jc w:val="both"/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Theme="minorHAnsi"/>
          <w:sz w:val="24"/>
          <w:szCs w:val="24"/>
        </w:rPr>
        <w:t xml:space="preserve">Zamawiający zastrzega sobie prawo do unieważnienia postępowania na każdym etapie bez podawania przyczyny.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20"/>
        <w:numPr>
          <w:ilvl w:val="1"/>
          <w:numId w:val="5"/>
        </w:numPr>
        <w:jc w:val="both"/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Theme="minorHAnsi"/>
          <w:sz w:val="24"/>
          <w:szCs w:val="24"/>
        </w:rPr>
        <w:t xml:space="preserve">W przypadku, gdy wybr</w:t>
      </w:r>
      <w:r>
        <w:rPr>
          <w:rFonts w:ascii="Times New Roman" w:hAnsi="Times New Roman" w:cs="Times New Roman" w:eastAsiaTheme="minorHAnsi"/>
          <w:sz w:val="24"/>
          <w:szCs w:val="24"/>
        </w:rPr>
        <w:t xml:space="preserve">any Wykonawca odstąpi od podpisania umowy z Zamawiającym lub nie udokumentuje spełnienia warunków udziału w postępowaniu, możliwe jest podpisanie przez Zamawiającego umowy z kolejnym Wykonawcą, który w postępowaniu uzyskał kolejną najwyższą liczbę punktów.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20"/>
        <w:numPr>
          <w:ilvl w:val="1"/>
          <w:numId w:val="5"/>
        </w:numPr>
        <w:jc w:val="both"/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Theme="minorHAnsi"/>
          <w:sz w:val="24"/>
          <w:szCs w:val="24"/>
        </w:rPr>
        <w:t xml:space="preserve">Zamawiający zastrzega, że nie przewiduje uzupełniania dokumentów składanych przez Wykonawców.</w:t>
      </w:r>
      <w:r>
        <w:rPr>
          <w:rFonts w:ascii="Times New Roman" w:hAnsi="Times New Roman" w:cs="Times New Roman" w:eastAsiaTheme="minorHAnsi"/>
          <w:color w:val="000000"/>
          <w:sz w:val="24"/>
          <w:szCs w:val="24"/>
          <w:shd w:val="clear" w:fill="FFFFFF" w:color="auto"/>
        </w:rPr>
        <w:t xml:space="preserve">  W szczególnie uzasadnionej sytuacji może zwrócić się do Wykonawcy o złożenie wyjaśnień.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20"/>
        <w:numPr>
          <w:ilvl w:val="1"/>
          <w:numId w:val="5"/>
        </w:numPr>
        <w:jc w:val="both"/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Theme="minorHAnsi"/>
          <w:sz w:val="24"/>
          <w:szCs w:val="24"/>
        </w:rPr>
        <w:t xml:space="preserve">Zamawiający zastrzega sobie prawo zmiany lub uzupełnienia treści niniejszego</w:t>
      </w:r>
      <w:r>
        <w:rPr>
          <w:rFonts w:ascii="Times New Roman" w:hAnsi="Times New Roman" w:cs="Times New Roman" w:eastAsiaTheme="minorHAnsi"/>
          <w:sz w:val="24"/>
          <w:szCs w:val="24"/>
        </w:rPr>
        <w:t xml:space="preserve"> zapytania ofertowego do upływu terminu składania ofert. W tej sytuacji Zamawiający zastrzega, iż termin składania ofert zostanie przedłużony o czas niezbędny do wprowadzenia zmian w ofertach, jeżeli jest to konieczne z uwagi na zakres wprowadzonych zmian.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20"/>
        <w:numPr>
          <w:ilvl w:val="1"/>
          <w:numId w:val="5"/>
        </w:numPr>
        <w:jc w:val="both"/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Theme="minorHAnsi"/>
          <w:sz w:val="24"/>
          <w:szCs w:val="24"/>
        </w:rPr>
        <w:t xml:space="preserve">Zamawiający zastrzega sobie prawo do poprawienia w tekście przesłanej oferty oczywistych omyłek pisarskich i rachunkowych, niezwłocznie zawiadamiając o tym fakcie danego Wykonawcę.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20"/>
        <w:numPr>
          <w:ilvl w:val="1"/>
          <w:numId w:val="5"/>
        </w:numPr>
        <w:jc w:val="both"/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Theme="minorHAnsi"/>
          <w:sz w:val="24"/>
          <w:szCs w:val="24"/>
        </w:rPr>
        <w:t xml:space="preserve">Zamawiający zastrzega, że Wykonawcy mogą zadawać pytania najpóźniej do dnia </w:t>
      </w:r>
      <w:r>
        <w:rPr>
          <w:rFonts w:ascii="Times New Roman" w:hAnsi="Times New Roman" w:cs="Times New Roman" w:eastAsiaTheme="minorHAnsi"/>
          <w:b/>
          <w:sz w:val="24"/>
          <w:szCs w:val="24"/>
        </w:rPr>
        <w:t xml:space="preserve">25</w:t>
      </w:r>
      <w:r>
        <w:rPr>
          <w:rFonts w:ascii="Times New Roman" w:hAnsi="Times New Roman" w:cs="Times New Roman" w:eastAsiaTheme="minorHAnsi"/>
          <w:b/>
          <w:sz w:val="24"/>
          <w:szCs w:val="24"/>
        </w:rPr>
        <w:t xml:space="preserve">.0</w:t>
      </w:r>
      <w:r>
        <w:rPr>
          <w:rFonts w:ascii="Times New Roman" w:hAnsi="Times New Roman" w:cs="Times New Roman" w:eastAsiaTheme="minorHAnsi"/>
          <w:b/>
          <w:sz w:val="24"/>
          <w:szCs w:val="24"/>
        </w:rPr>
        <w:t xml:space="preserve">3.2022</w:t>
      </w:r>
      <w:r>
        <w:rPr>
          <w:rFonts w:ascii="Times New Roman" w:hAnsi="Times New Roman" w:cs="Times New Roman" w:eastAsiaTheme="minorHAnsi"/>
          <w:b/>
          <w:sz w:val="24"/>
          <w:szCs w:val="24"/>
        </w:rPr>
        <w:t xml:space="preserve"> r.</w:t>
      </w:r>
      <w:r>
        <w:rPr>
          <w:rFonts w:ascii="Times New Roman" w:hAnsi="Times New Roman" w:cs="Times New Roman" w:eastAsiaTheme="minorHAnsi"/>
          <w:sz w:val="24"/>
          <w:szCs w:val="24"/>
        </w:rPr>
        <w:t xml:space="preserve"> na adres e-mail: cis@cis.ustka.pl.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20"/>
        <w:numPr>
          <w:ilvl w:val="1"/>
          <w:numId w:val="5"/>
        </w:numPr>
        <w:jc w:val="both"/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Theme="minorHAnsi"/>
          <w:sz w:val="24"/>
          <w:szCs w:val="24"/>
        </w:rPr>
        <w:t xml:space="preserve">Zamawiający powiadomi niezwłocznie o wynikach rozstrzygnięcia zapytania wszystkich   wykonawców ubiegających się o udzielenie zamówienia.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20"/>
        <w:numPr>
          <w:ilvl w:val="1"/>
          <w:numId w:val="5"/>
        </w:numPr>
        <w:jc w:val="both"/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Theme="minorHAnsi"/>
          <w:sz w:val="24"/>
          <w:szCs w:val="24"/>
        </w:rPr>
        <w:t xml:space="preserve">W sprawach roboczych związanych z zapytaniem ofertowym należy kontaktować się </w:t>
      </w:r>
      <w:r>
        <w:rPr>
          <w:rFonts w:ascii="Times New Roman" w:hAnsi="Times New Roman" w:cs="Times New Roman" w:eastAsiaTheme="minorHAnsi"/>
          <w:sz w:val="24"/>
          <w:szCs w:val="24"/>
        </w:rPr>
        <w:br/>
        <w:t xml:space="preserve">z przedstawicielem Zamawiającego telefonicznie lub mailowo – nr tel.: 793 824 711  e-mail: d.pietka@cis.ustka.pl.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933"/>
        <w:jc w:val="right"/>
        <w:spacing w:after="0"/>
        <w:rPr>
          <w:rFonts w:ascii="Arial Narrow" w:hAnsi="Arial Narrow" w:cs="Arial Narrow"/>
          <w:i/>
          <w:iCs/>
          <w:sz w:val="22"/>
          <w:szCs w:val="22"/>
          <w:lang w:eastAsia="en-US"/>
        </w:rPr>
      </w:pPr>
      <w:r>
        <w:rPr>
          <w:rFonts w:ascii="Arial Narrow" w:hAnsi="Arial Narrow" w:cs="Arial Narrow" w:eastAsiaTheme="minorHAnsi"/>
          <w:i/>
          <w:iCs/>
          <w:sz w:val="22"/>
          <w:szCs w:val="22"/>
          <w:lang w:eastAsia="en-US"/>
        </w:rPr>
        <w:t xml:space="preserve">                                   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ind w:left="-142"/>
        <w:spacing w:lineRule="auto" w:line="240"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 w:eastAsiaTheme="minorHAnsi"/>
          <w:b/>
        </w:rPr>
        <w:t xml:space="preserve">Załączniki: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ind w:left="-142"/>
        <w:spacing w:lineRule="auto" w:line="240"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 w:eastAsiaTheme="minorHAnsi"/>
        </w:rPr>
        <w:t xml:space="preserve">Załącznik nr 1 – </w:t>
      </w:r>
      <w:r>
        <w:rPr>
          <w:rFonts w:ascii="Times New Roman" w:hAnsi="Times New Roman" w:cs="Times New Roman" w:eastAsiaTheme="minorHAnsi"/>
          <w:bCs/>
          <w:iCs/>
        </w:rPr>
        <w:t xml:space="preserve">Oświadczenie o braku wzajemnych powiązań kapitałowych lub osobowych </w:t>
      </w:r>
      <w:r>
        <w:rPr>
          <w:rFonts w:ascii="Times New Roman" w:hAnsi="Times New Roman" w:cs="Times New Roman" w:eastAsiaTheme="minorHAnsi"/>
          <w:bCs/>
          <w:iCs/>
        </w:rPr>
        <w:br/>
        <w:t xml:space="preserve">                            Wykonawcy i Zamawiającego,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ind w:left="-142"/>
        <w:spacing w:lineRule="auto" w:line="24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 w:eastAsiaTheme="minorHAnsi"/>
        </w:rPr>
        <w:t xml:space="preserve">Załącznik nr 2 – Formularz oferty,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ind w:left="-142"/>
        <w:spacing w:lineRule="auto" w:line="240"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eastAsiaTheme="minorHAnsi"/>
        </w:rPr>
        <w:t xml:space="preserve">Załącznik nr 3 – </w:t>
      </w:r>
      <w:r>
        <w:rPr>
          <w:rFonts w:ascii="Times New Roman" w:hAnsi="Times New Roman" w:cs="Times New Roman" w:eastAsiaTheme="minorHAnsi"/>
          <w:bCs/>
          <w:sz w:val="24"/>
          <w:szCs w:val="24"/>
        </w:rPr>
        <w:t xml:space="preserve">Oświadczenie Wykonawcy w zakresie wypełniania obowiązków </w:t>
      </w:r>
      <w:r>
        <w:rPr>
          <w:rFonts w:ascii="Times New Roman" w:hAnsi="Times New Roman" w:cs="Times New Roman" w:eastAsiaTheme="minorHAnsi"/>
          <w:bCs/>
          <w:sz w:val="24"/>
          <w:szCs w:val="24"/>
        </w:rPr>
        <w:br/>
        <w:t xml:space="preserve">                          informacyjnych RODO, jeżeli dotyczy,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ind w:left="-142"/>
        <w:spacing w:lineRule="auto" w:line="240" w:after="0"/>
        <w:rPr>
          <w:rFonts w:ascii="Times New Roman" w:hAnsi="Times New Roman"/>
          <w:bCs/>
          <w:iCs/>
        </w:rPr>
      </w:pPr>
      <w:r>
        <w:rPr>
          <w:rFonts w:ascii="Times New Roman" w:hAnsi="Times New Roman" w:cs="Times New Roman" w:eastAsiaTheme="minorHAnsi"/>
        </w:rPr>
        <w:t xml:space="preserve">Załącznik nr 4 – Klauzula informacyjna,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ind w:left="-142"/>
        <w:spacing w:lineRule="auto" w:line="240" w:after="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eastAsiaTheme="minorHAnsi"/>
          <w:bCs/>
          <w:iCs/>
        </w:rPr>
        <w:t xml:space="preserve">Załącznik nr 5 – Wzór umowy.</w:t>
      </w:r>
      <w:r>
        <w:rPr>
          <w:rFonts w:eastAsiaTheme="minorHAnsi"/>
        </w:rPr>
      </w:r>
      <w:r>
        <w:rPr>
          <w:rFonts w:eastAsiaTheme="minorHAnsi"/>
        </w:rPr>
      </w:r>
    </w:p>
    <w:sectPr>
      <w:headerReference w:type="default" r:id="rId9"/>
      <w:footerReference w:type="default" r:id="rId10"/>
      <w:footnotePr/>
      <w:endnotePr/>
      <w:type w:val="nextPage"/>
      <w:pgSz w:w="11906" w:h="16838" w:orient="portrait"/>
      <w:pgMar w:top="1304" w:right="1274" w:bottom="1304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">
    <w:panose1 w:val="020B0603030804020204"/>
  </w:font>
  <w:font w:name="Symbol">
    <w:panose1 w:val="05010000000000000000"/>
  </w:font>
  <w:font w:name="Wingdings">
    <w:panose1 w:val="05010000000000000000"/>
  </w:font>
  <w:font w:name="SimSun">
    <w:panose1 w:val="02020603020101020101"/>
  </w:font>
  <w:font w:name="Courier New">
    <w:panose1 w:val="02070309020205020404"/>
  </w:font>
  <w:font w:name="Mangal">
    <w:panose1 w:val="02020603050405020304"/>
  </w:font>
  <w:font w:name="Liberation Serif">
    <w:panose1 w:val="02020603050405020304"/>
  </w:font>
  <w:font w:name="Tahoma">
    <w:panose1 w:val="020B0604030504040204"/>
  </w:font>
  <w:font w:name="Cambria">
    <w:panose1 w:val="02020603050405020304"/>
  </w:font>
  <w:font w:name="Arial Narrow">
    <w:panose1 w:val="020B0604020202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5"/>
    </w:pPr>
    <w:r>
      <mc:AlternateContent>
        <mc:Choice Requires="wpg">
          <w:drawing>
            <wp:anchor xmlns:wp="http://schemas.openxmlformats.org/drawingml/2006/wordprocessingDrawing" distT="0" distB="0" distL="114300" distR="114300" simplePos="0" relativeHeight="251658240" behindDoc="0" locked="0" layoutInCell="0" allowOverlap="1">
              <wp:simplePos x="0" y="0"/>
              <wp:positionH relativeFrom="page">
                <wp:align>center</wp:align>
              </wp:positionH>
              <wp:positionV relativeFrom="page">
                <wp:posOffset>9973945</wp:posOffset>
              </wp:positionV>
              <wp:extent cx="5759450" cy="159385"/>
              <wp:effectExtent l="0" t="0" r="0" b="0"/>
              <wp:wrapNone/>
              <wp:docPr id="2" name="Obraz 2" hidden="0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Picture 1" hidden="0"/>
                      <pic:cNvPicPr>
                        <a:picLocks noChangeArrowheads="1"/>
                      </pic:cNvPicPr>
                      <pic:nvPr isPhoto="0" userDrawn="0"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5759450" cy="159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1" o:spid="_x0000_s1" type="#_x0000_t75" style="position:absolute;mso-wrap-distance-left:9.0pt;mso-wrap-distance-top:0.0pt;mso-wrap-distance-right:9.0pt;mso-wrap-distance-bottom:0.0pt;z-index:251658240;o:allowoverlap:true;o:allowincell:false;mso-position-horizontal-relative:page;mso-position-horizontal:center;mso-position-vertical-relative:page;margin-top:785.3pt;mso-position-vertical:absolute;width:453.5pt;height:12.5pt;" stroked="f">
              <v:path textboxrect="0,0,0,0"/>
              <v:imagedata r:id="rId1" o:title=""/>
            </v:shape>
          </w:pict>
        </mc:Fallback>
      </mc:AlternateContent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1"/>
    </w:pPr>
    <w:r/>
    <w:r/>
  </w:p>
  <w:p>
    <w:pPr>
      <w:pStyle w:val="921"/>
    </w:pPr>
    <w:r/>
    <w:r/>
  </w:p>
  <w:p>
    <w:pPr>
      <w:pStyle w:val="921"/>
    </w:pPr>
    <w:r>
      <mc:AlternateContent>
        <mc:Choice Requires="wpg">
          <w:drawing>
            <wp:anchor xmlns:wp="http://schemas.openxmlformats.org/drawingml/2006/wordprocessingDrawing" distT="0" distB="0" distL="114300" distR="114300" simplePos="0" relativeHeight="251659264" behindDoc="0" locked="0" layoutInCell="0" allowOverlap="1">
              <wp:simplePos x="0" y="0"/>
              <wp:positionH relativeFrom="page">
                <wp:align>center</wp:align>
              </wp:positionH>
              <wp:positionV relativeFrom="page">
                <wp:posOffset>256540</wp:posOffset>
              </wp:positionV>
              <wp:extent cx="5759450" cy="617220"/>
              <wp:effectExtent l="0" t="0" r="0" b="0"/>
              <wp:wrapNone/>
              <wp:docPr id="1" name="Obraz 3" hidden="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Picture 2" hidden="0"/>
                      <pic:cNvPicPr>
                        <a:picLocks noChangeAspect="1"/>
                      </pic:cNvPicPr>
                      <pic:nvPr isPhoto="0" userDrawn="0"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5759450" cy="617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position:absolute;mso-wrap-distance-left:9.0pt;mso-wrap-distance-top:0.0pt;mso-wrap-distance-right:9.0pt;mso-wrap-distance-bottom:0.0pt;z-index:251659264;o:allowoverlap:true;o:allowincell:false;mso-position-horizontal-relative:page;mso-position-horizontal:center;mso-position-vertical-relative:page;margin-top:20.2pt;mso-position-vertical:absolute;width:453.5pt;height:48.6pt;" stroked="f">
              <v:path textboxrect="0,0,0,0"/>
              <v:imagedata r:id="rId1" o:title=""/>
            </v:shape>
          </w:pict>
        </mc:Fallback>
      </mc:AlternateConten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right"/>
      <w:pPr>
        <w:ind w:left="360" w:hanging="36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86" w:hanging="360"/>
      </w:pPr>
      <w:rPr>
        <w:rFonts w:eastAsia="Times New Roman"/>
        <w:b w:val="false"/>
        <w:color w:val="auto"/>
      </w:rPr>
    </w:lvl>
    <w:lvl w:ilvl="1">
      <w:start w:val="1"/>
      <w:numFmt w:val="lowerLetter"/>
      <w:isLgl w:val="false"/>
      <w:suff w:val="tab"/>
      <w:lvlText w:val="%2."/>
      <w:lvlJc w:val="left"/>
      <w:pPr>
        <w:ind w:left="150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2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4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6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8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0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2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46" w:hanging="180"/>
      </w:pPr>
    </w:lvl>
  </w:abstractNum>
  <w:abstractNum w:abstractNumId="3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29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69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29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89" w:hanging="360"/>
      </w:pPr>
      <w:rPr>
        <w:rFonts w:ascii="Wingdings" w:hAnsi="Wingdings" w:cs="Wingdings" w:eastAsia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ascii="Wingdings" w:hAnsi="Wingdings" w:cs="Wingdings" w:eastAsia="Wingdings"/>
      </w:rPr>
    </w:lvl>
  </w:abstractNum>
  <w:abstractNum w:abstractNumId="14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93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5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7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9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1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3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5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7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95" w:hanging="180"/>
      </w:pPr>
    </w:lvl>
  </w:abstractNum>
  <w:abstractNum w:abstractNumId="17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2"/>
      <w:numFmt w:val="lowerLetter"/>
      <w:isLgl w:val="false"/>
      <w:suff w:val="tab"/>
      <w:lvlText w:val="%1)"/>
      <w:lvlJc w:val="left"/>
      <w:pPr>
        <w:ind w:left="213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85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57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29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501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73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45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717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897" w:hanging="180"/>
      </w:pPr>
    </w:lvl>
  </w:abstractNum>
  <w:abstractNum w:abstractNumId="19">
    <w:multiLevelType w:val="hybridMultilevel"/>
    <w:lvl w:ilvl="0">
      <w:start w:val="14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isLgl w:val="false"/>
      <w:suff w:val="tab"/>
      <w:lvlText w:val="%2."/>
      <w:lvlJc w:val="left"/>
      <w:pPr>
        <w:ind w:left="480" w:hanging="480"/>
      </w:pPr>
      <w:rPr>
        <w:rFonts w:ascii="Times New Roman" w:hAnsi="Times New Roman" w:cs="Times New Roman" w:eastAsia="Calibri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b w:val="false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935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5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7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9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1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3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5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7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95" w:hanging="180"/>
      </w:pPr>
    </w:lvl>
  </w:abstractNum>
  <w:abstractNum w:abstractNumId="22">
    <w:multiLevelType w:val="hybridMultilevel"/>
    <w:lvl w:ilvl="0">
      <w:start w:val="7"/>
      <w:numFmt w:val="decimal"/>
      <w:isLgl w:val="false"/>
      <w:suff w:val="tab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2."/>
      <w:lvlJc w:val="left"/>
      <w:pPr>
        <w:ind w:left="360" w:hanging="360"/>
      </w:pPr>
      <w:rPr>
        <w:rFonts w:ascii="Times New Roman" w:hAnsi="Times New Roman" w:cs="Times New Roman" w:eastAsia="Calibri"/>
        <w:color w:val="auto"/>
      </w:r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86" w:hanging="360"/>
      </w:pPr>
      <w:rPr>
        <w:rFonts w:eastAsia="Times New Roman" w:hint="default"/>
        <w:b w:val="false"/>
        <w:color w:val="auto"/>
      </w:rPr>
    </w:lvl>
    <w:lvl w:ilvl="1">
      <w:start w:val="1"/>
      <w:numFmt w:val="lowerLetter"/>
      <w:isLgl w:val="false"/>
      <w:suff w:val="tab"/>
      <w:lvlText w:val="%2."/>
      <w:lvlJc w:val="left"/>
      <w:pPr>
        <w:ind w:left="150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2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4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6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8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0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2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46" w:hanging="180"/>
      </w:pPr>
    </w:lvl>
  </w:abstractNum>
  <w:abstractNum w:abstractNumId="24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1080" w:hanging="360"/>
      </w:pPr>
      <w:rPr>
        <w:rFonts w:hint="default"/>
        <w:b/>
        <w:color w:val="FF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25">
    <w:multiLevelType w:val="hybridMultilevel"/>
    <w:lvl w:ilvl="0">
      <w:start w:val="7"/>
      <w:numFmt w:val="decimal"/>
      <w:isLgl w:val="false"/>
      <w:suff w:val="tab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2."/>
      <w:lvlJc w:val="left"/>
      <w:pPr>
        <w:ind w:left="360" w:hanging="360"/>
      </w:pPr>
      <w:rPr>
        <w:rFonts w:ascii="Times New Roman" w:hAnsi="Times New Roman" w:cs="Times New Roman" w:eastAsiaTheme="minorHAnsi"/>
        <w:color w:val="auto"/>
      </w:r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>
    <w:multiLevelType w:val="hybridMultilevel"/>
    <w:lvl w:ilvl="0">
      <w:start w:val="7"/>
      <w:numFmt w:val="decimal"/>
      <w:isLgl w:val="false"/>
      <w:suff w:val="tab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2."/>
      <w:lvlJc w:val="left"/>
      <w:pPr>
        <w:ind w:left="360" w:hanging="360"/>
      </w:pPr>
      <w:rPr>
        <w:rFonts w:ascii="Times New Roman" w:hAnsi="Times New Roman" w:cs="Times New Roman" w:eastAsia="Calibri"/>
        <w:color w:val="auto"/>
      </w:r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4"/>
  </w:num>
  <w:num w:numId="3">
    <w:abstractNumId w:val="21"/>
  </w:num>
  <w:num w:numId="4">
    <w:abstractNumId w:val="16"/>
  </w:num>
  <w:num w:numId="5">
    <w:abstractNumId w:val="19"/>
  </w:num>
  <w:num w:numId="6">
    <w:abstractNumId w:val="8"/>
  </w:num>
  <w:num w:numId="7">
    <w:abstractNumId w:val="5"/>
  </w:num>
  <w:num w:numId="8">
    <w:abstractNumId w:val="10"/>
  </w:num>
  <w:num w:numId="9">
    <w:abstractNumId w:val="4"/>
  </w:num>
  <w:num w:numId="10">
    <w:abstractNumId w:val="1"/>
  </w:num>
  <w:num w:numId="11">
    <w:abstractNumId w:val="2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5"/>
  </w:num>
  <w:num w:numId="15">
    <w:abstractNumId w:val="17"/>
  </w:num>
  <w:num w:numId="16">
    <w:abstractNumId w:val="0"/>
  </w:num>
  <w:num w:numId="17">
    <w:abstractNumId w:val="23"/>
  </w:num>
  <w:num w:numId="18">
    <w:abstractNumId w:val="6"/>
  </w:num>
  <w:num w:numId="19">
    <w:abstractNumId w:val="3"/>
  </w:num>
  <w:num w:numId="20">
    <w:abstractNumId w:val="7"/>
  </w:num>
  <w:num w:numId="21">
    <w:abstractNumId w:val="9"/>
  </w:num>
  <w:num w:numId="22">
    <w:abstractNumId w:val="18"/>
  </w:num>
  <w:num w:numId="23">
    <w:abstractNumId w:val="13"/>
  </w:num>
  <w:num w:numId="24">
    <w:abstractNumId w:val="2"/>
  </w:num>
  <w:num w:numId="25">
    <w:abstractNumId w:val="24"/>
  </w:num>
  <w:num w:numId="26">
    <w:abstractNumId w:val="25"/>
  </w:num>
  <w:num w:numId="27">
    <w:abstractNumId w:val="26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 w:hint="default"/>
        <w:sz w:val="22"/>
        <w:szCs w:val="22"/>
        <w:lang w:val="pl-PL" w:bidi="ar-SA" w:eastAsia="pl-PL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38">
    <w:name w:val="Heading 5 Char"/>
    <w:basedOn w:val="866"/>
    <w:link w:val="861"/>
    <w:uiPriority w:val="9"/>
    <w:rPr>
      <w:rFonts w:ascii="Arial" w:hAnsi="Arial" w:cs="Arial" w:eastAsia="Arial"/>
      <w:b/>
      <w:bCs/>
      <w:sz w:val="24"/>
      <w:szCs w:val="24"/>
    </w:rPr>
  </w:style>
  <w:style w:type="character" w:styleId="739">
    <w:name w:val="Heading 6 Char"/>
    <w:basedOn w:val="866"/>
    <w:link w:val="862"/>
    <w:uiPriority w:val="9"/>
    <w:rPr>
      <w:rFonts w:ascii="Arial" w:hAnsi="Arial" w:cs="Arial" w:eastAsia="Arial"/>
      <w:b/>
      <w:bCs/>
      <w:sz w:val="22"/>
      <w:szCs w:val="22"/>
    </w:rPr>
  </w:style>
  <w:style w:type="character" w:styleId="740">
    <w:name w:val="Heading 7 Char"/>
    <w:basedOn w:val="866"/>
    <w:link w:val="86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741">
    <w:name w:val="Heading 8 Char"/>
    <w:basedOn w:val="866"/>
    <w:link w:val="864"/>
    <w:uiPriority w:val="9"/>
    <w:rPr>
      <w:rFonts w:ascii="Arial" w:hAnsi="Arial" w:cs="Arial" w:eastAsia="Arial"/>
      <w:i/>
      <w:iCs/>
      <w:sz w:val="22"/>
      <w:szCs w:val="22"/>
    </w:rPr>
  </w:style>
  <w:style w:type="character" w:styleId="742">
    <w:name w:val="Heading 9 Char"/>
    <w:basedOn w:val="866"/>
    <w:link w:val="865"/>
    <w:uiPriority w:val="9"/>
    <w:rPr>
      <w:rFonts w:ascii="Arial" w:hAnsi="Arial" w:cs="Arial" w:eastAsia="Arial"/>
      <w:i/>
      <w:iCs/>
      <w:sz w:val="21"/>
      <w:szCs w:val="21"/>
    </w:rPr>
  </w:style>
  <w:style w:type="character" w:styleId="743">
    <w:name w:val="Quote Char"/>
    <w:link w:val="880"/>
    <w:uiPriority w:val="29"/>
    <w:rPr>
      <w:i/>
    </w:rPr>
  </w:style>
  <w:style w:type="character" w:styleId="744">
    <w:name w:val="Intense Quote Char"/>
    <w:link w:val="882"/>
    <w:uiPriority w:val="30"/>
    <w:rPr>
      <w:i/>
    </w:rPr>
  </w:style>
  <w:style w:type="paragraph" w:styleId="745">
    <w:name w:val="Caption"/>
    <w:basedOn w:val="856"/>
    <w:next w:val="856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6">
    <w:name w:val="Caption Char"/>
    <w:basedOn w:val="745"/>
    <w:link w:val="925"/>
    <w:uiPriority w:val="99"/>
  </w:style>
  <w:style w:type="table" w:styleId="747">
    <w:name w:val="Table Grid Light"/>
    <w:basedOn w:val="867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8">
    <w:name w:val="Plain Table 1"/>
    <w:basedOn w:val="867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9">
    <w:name w:val="Plain Table 2"/>
    <w:basedOn w:val="867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0">
    <w:name w:val="Plain Table 3"/>
    <w:basedOn w:val="86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1">
    <w:name w:val="Plain Table 4"/>
    <w:basedOn w:val="86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Plain Table 5"/>
    <w:basedOn w:val="86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3">
    <w:name w:val="Grid Table 1 Light"/>
    <w:basedOn w:val="8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1"/>
    <w:basedOn w:val="8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2"/>
    <w:basedOn w:val="8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3"/>
    <w:basedOn w:val="8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4"/>
    <w:basedOn w:val="8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5"/>
    <w:basedOn w:val="8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6"/>
    <w:basedOn w:val="8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2"/>
    <w:basedOn w:val="8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2 - Accent 1"/>
    <w:basedOn w:val="8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2 - Accent 2"/>
    <w:basedOn w:val="8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2 - Accent 3"/>
    <w:basedOn w:val="8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2 - Accent 4"/>
    <w:basedOn w:val="8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5"/>
    <w:basedOn w:val="8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6"/>
    <w:basedOn w:val="8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"/>
    <w:basedOn w:val="8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3 - Accent 1"/>
    <w:basedOn w:val="8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 - Accent 2"/>
    <w:basedOn w:val="8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3 - Accent 3"/>
    <w:basedOn w:val="8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 - Accent 4"/>
    <w:basedOn w:val="8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5"/>
    <w:basedOn w:val="8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6"/>
    <w:basedOn w:val="8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4"/>
    <w:basedOn w:val="86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5">
    <w:name w:val="Grid Table 4 - Accent 1"/>
    <w:basedOn w:val="86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6">
    <w:name w:val="Grid Table 4 - Accent 2"/>
    <w:basedOn w:val="86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7">
    <w:name w:val="Grid Table 4 - Accent 3"/>
    <w:basedOn w:val="86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8">
    <w:name w:val="Grid Table 4 - Accent 4"/>
    <w:basedOn w:val="86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9">
    <w:name w:val="Grid Table 4 - Accent 5"/>
    <w:basedOn w:val="86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0">
    <w:name w:val="Grid Table 4 - Accent 6"/>
    <w:basedOn w:val="86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1">
    <w:name w:val="Grid Table 5 Dark"/>
    <w:basedOn w:val="8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2">
    <w:name w:val="Grid Table 5 Dark- Accent 1"/>
    <w:basedOn w:val="8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3">
    <w:name w:val="Grid Table 5 Dark - Accent 2"/>
    <w:basedOn w:val="8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4">
    <w:name w:val="Grid Table 5 Dark - Accent 3"/>
    <w:basedOn w:val="8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5">
    <w:name w:val="Grid Table 5 Dark- Accent 4"/>
    <w:basedOn w:val="8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6">
    <w:name w:val="Grid Table 5 Dark - Accent 5"/>
    <w:basedOn w:val="8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7">
    <w:name w:val="Grid Table 5 Dark - Accent 6"/>
    <w:basedOn w:val="8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8">
    <w:name w:val="Grid Table 6 Colorful"/>
    <w:basedOn w:val="8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9">
    <w:name w:val="Grid Table 6 Colorful - Accent 1"/>
    <w:basedOn w:val="8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0">
    <w:name w:val="Grid Table 6 Colorful - Accent 2"/>
    <w:basedOn w:val="8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1">
    <w:name w:val="Grid Table 6 Colorful - Accent 3"/>
    <w:basedOn w:val="8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2">
    <w:name w:val="Grid Table 6 Colorful - Accent 4"/>
    <w:basedOn w:val="8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3">
    <w:name w:val="Grid Table 6 Colorful - Accent 5"/>
    <w:basedOn w:val="8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4">
    <w:name w:val="Grid Table 6 Colorful - Accent 6"/>
    <w:basedOn w:val="8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5">
    <w:name w:val="Grid Table 7 Colorful"/>
    <w:basedOn w:val="8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Grid Table 7 Colorful - Accent 1"/>
    <w:basedOn w:val="8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Grid Table 7 Colorful - Accent 2"/>
    <w:basedOn w:val="8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Grid Table 7 Colorful - Accent 3"/>
    <w:basedOn w:val="8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Grid Table 7 Colorful - Accent 4"/>
    <w:basedOn w:val="8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5"/>
    <w:basedOn w:val="8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6"/>
    <w:basedOn w:val="8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"/>
    <w:basedOn w:val="86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1 Light - Accent 1"/>
    <w:basedOn w:val="86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 - Accent 2"/>
    <w:basedOn w:val="86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1 Light - Accent 3"/>
    <w:basedOn w:val="86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 - Accent 4"/>
    <w:basedOn w:val="86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5"/>
    <w:basedOn w:val="86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6"/>
    <w:basedOn w:val="86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2"/>
    <w:basedOn w:val="8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0">
    <w:name w:val="List Table 2 - Accent 1"/>
    <w:basedOn w:val="8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1">
    <w:name w:val="List Table 2 - Accent 2"/>
    <w:basedOn w:val="8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2">
    <w:name w:val="List Table 2 - Accent 3"/>
    <w:basedOn w:val="8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3">
    <w:name w:val="List Table 2 - Accent 4"/>
    <w:basedOn w:val="8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4">
    <w:name w:val="List Table 2 - Accent 5"/>
    <w:basedOn w:val="8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5">
    <w:name w:val="List Table 2 - Accent 6"/>
    <w:basedOn w:val="8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6">
    <w:name w:val="List Table 3"/>
    <w:basedOn w:val="8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1"/>
    <w:basedOn w:val="8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2"/>
    <w:basedOn w:val="8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3"/>
    <w:basedOn w:val="8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4"/>
    <w:basedOn w:val="8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5"/>
    <w:basedOn w:val="8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6"/>
    <w:basedOn w:val="8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"/>
    <w:basedOn w:val="8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1"/>
    <w:basedOn w:val="8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2"/>
    <w:basedOn w:val="8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3"/>
    <w:basedOn w:val="8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4"/>
    <w:basedOn w:val="8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5"/>
    <w:basedOn w:val="8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6"/>
    <w:basedOn w:val="8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5 Dark"/>
    <w:basedOn w:val="8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1"/>
    <w:basedOn w:val="8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2"/>
    <w:basedOn w:val="8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3"/>
    <w:basedOn w:val="8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4"/>
    <w:basedOn w:val="8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5"/>
    <w:basedOn w:val="8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6"/>
    <w:basedOn w:val="8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6 Colorful"/>
    <w:basedOn w:val="8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8">
    <w:name w:val="List Table 6 Colorful - Accent 1"/>
    <w:basedOn w:val="8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9">
    <w:name w:val="List Table 6 Colorful - Accent 2"/>
    <w:basedOn w:val="8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0">
    <w:name w:val="List Table 6 Colorful - Accent 3"/>
    <w:basedOn w:val="8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1">
    <w:name w:val="List Table 6 Colorful - Accent 4"/>
    <w:basedOn w:val="8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2">
    <w:name w:val="List Table 6 Colorful - Accent 5"/>
    <w:basedOn w:val="8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3">
    <w:name w:val="List Table 6 Colorful - Accent 6"/>
    <w:basedOn w:val="8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4">
    <w:name w:val="List Table 7 Colorful"/>
    <w:basedOn w:val="8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5">
    <w:name w:val="List Table 7 Colorful - Accent 1"/>
    <w:basedOn w:val="8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6">
    <w:name w:val="List Table 7 Colorful - Accent 2"/>
    <w:basedOn w:val="8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7">
    <w:name w:val="List Table 7 Colorful - Accent 3"/>
    <w:basedOn w:val="8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8">
    <w:name w:val="List Table 7 Colorful - Accent 4"/>
    <w:basedOn w:val="8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9">
    <w:name w:val="List Table 7 Colorful - Accent 5"/>
    <w:basedOn w:val="8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0">
    <w:name w:val="List Table 7 Colorful - Accent 6"/>
    <w:basedOn w:val="86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1">
    <w:name w:val="Lined - Accent"/>
    <w:basedOn w:val="86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2">
    <w:name w:val="Bordered &amp; Lined - Accent"/>
    <w:basedOn w:val="86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character" w:styleId="853">
    <w:name w:val="Footnote Text Char"/>
    <w:link w:val="907"/>
    <w:uiPriority w:val="99"/>
    <w:rPr>
      <w:sz w:val="18"/>
    </w:rPr>
  </w:style>
  <w:style w:type="character" w:styleId="854">
    <w:name w:val="Endnote Text Char"/>
    <w:link w:val="945"/>
    <w:uiPriority w:val="99"/>
    <w:rPr>
      <w:sz w:val="20"/>
    </w:rPr>
  </w:style>
  <w:style w:type="paragraph" w:styleId="855">
    <w:name w:val="table of figures"/>
    <w:basedOn w:val="856"/>
    <w:next w:val="856"/>
    <w:uiPriority w:val="99"/>
    <w:unhideWhenUsed/>
    <w:pPr>
      <w:spacing w:after="0" w:afterAutospacing="0"/>
    </w:pPr>
  </w:style>
  <w:style w:type="paragraph" w:styleId="856" w:default="1">
    <w:name w:val="Normal"/>
    <w:qFormat/>
  </w:style>
  <w:style w:type="paragraph" w:styleId="857">
    <w:name w:val="Heading 1"/>
    <w:basedOn w:val="856"/>
    <w:link w:val="931"/>
    <w:qFormat/>
    <w:uiPriority w:val="9"/>
    <w:rPr>
      <w:rFonts w:ascii="Times New Roman" w:hAnsi="Times New Roman" w:cs="Times New Roman" w:eastAsia="Times New Roman"/>
      <w:b/>
      <w:bCs/>
      <w:sz w:val="48"/>
      <w:szCs w:val="48"/>
    </w:rPr>
    <w:pPr>
      <w:spacing w:lineRule="auto" w:line="240" w:after="100" w:afterAutospacing="1" w:before="100" w:beforeAutospacing="1"/>
      <w:outlineLvl w:val="0"/>
    </w:pPr>
  </w:style>
  <w:style w:type="paragraph" w:styleId="858">
    <w:name w:val="Heading 2"/>
    <w:basedOn w:val="856"/>
    <w:next w:val="856"/>
    <w:link w:val="969"/>
    <w:qFormat/>
    <w:uiPriority w:val="9"/>
    <w:semiHidden/>
    <w:unhideWhenUsed/>
    <w:rPr>
      <w:rFonts w:ascii="Cambria" w:hAnsi="Cambria" w:cs="Cambria" w:eastAsia="Cambria"/>
      <w:color w:val="365F91" w:themeColor="accent1" w:themeShade="BF"/>
      <w:sz w:val="26"/>
      <w:szCs w:val="26"/>
    </w:rPr>
    <w:pPr>
      <w:keepLines/>
      <w:keepNext/>
      <w:spacing w:after="0" w:before="40"/>
      <w:outlineLvl w:val="1"/>
    </w:pPr>
  </w:style>
  <w:style w:type="paragraph" w:styleId="859">
    <w:name w:val="Heading 3"/>
    <w:basedOn w:val="856"/>
    <w:next w:val="856"/>
    <w:link w:val="932"/>
    <w:qFormat/>
    <w:uiPriority w:val="9"/>
    <w:semiHidden/>
    <w:unhideWhenUsed/>
    <w:rPr>
      <w:rFonts w:ascii="Cambria" w:hAnsi="Cambria" w:cs="Cambria" w:eastAsia="Cambria"/>
      <w:b/>
      <w:bCs/>
      <w:color w:val="4F81BD" w:themeColor="accent1"/>
    </w:rPr>
    <w:pPr>
      <w:keepLines/>
      <w:keepNext/>
      <w:spacing w:after="0" w:before="200"/>
      <w:outlineLvl w:val="2"/>
    </w:pPr>
  </w:style>
  <w:style w:type="paragraph" w:styleId="860">
    <w:name w:val="Heading 4"/>
    <w:basedOn w:val="856"/>
    <w:next w:val="856"/>
    <w:link w:val="958"/>
    <w:qFormat/>
    <w:uiPriority w:val="9"/>
    <w:semiHidden/>
    <w:unhideWhenUsed/>
    <w:rPr>
      <w:rFonts w:ascii="Cambria" w:hAnsi="Cambria" w:cs="Cambria" w:eastAsia="Cambria"/>
      <w:b/>
      <w:bCs/>
      <w:i/>
      <w:iCs/>
      <w:color w:val="4F81BD" w:themeColor="accent1"/>
    </w:rPr>
    <w:pPr>
      <w:keepLines/>
      <w:keepNext/>
      <w:spacing w:after="0" w:before="200"/>
      <w:outlineLvl w:val="3"/>
    </w:pPr>
  </w:style>
  <w:style w:type="paragraph" w:styleId="861">
    <w:name w:val="Heading 5"/>
    <w:basedOn w:val="856"/>
    <w:next w:val="856"/>
    <w:link w:val="873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before="320"/>
      <w:outlineLvl w:val="4"/>
    </w:pPr>
  </w:style>
  <w:style w:type="paragraph" w:styleId="862">
    <w:name w:val="Heading 6"/>
    <w:basedOn w:val="856"/>
    <w:next w:val="856"/>
    <w:link w:val="874"/>
    <w:qFormat/>
    <w:uiPriority w:val="9"/>
    <w:unhideWhenUsed/>
    <w:rPr>
      <w:rFonts w:ascii="Arial" w:hAnsi="Arial" w:cs="Arial" w:eastAsia="Arial"/>
      <w:b/>
      <w:bCs/>
    </w:rPr>
    <w:pPr>
      <w:keepLines/>
      <w:keepNext/>
      <w:spacing w:before="320"/>
      <w:outlineLvl w:val="5"/>
    </w:pPr>
  </w:style>
  <w:style w:type="paragraph" w:styleId="863">
    <w:name w:val="Heading 7"/>
    <w:basedOn w:val="856"/>
    <w:next w:val="856"/>
    <w:link w:val="875"/>
    <w:qFormat/>
    <w:uiPriority w:val="9"/>
    <w:unhideWhenUsed/>
    <w:rPr>
      <w:rFonts w:ascii="Arial" w:hAnsi="Arial" w:cs="Arial" w:eastAsia="Arial"/>
      <w:b/>
      <w:bCs/>
      <w:i/>
      <w:iCs/>
    </w:rPr>
    <w:pPr>
      <w:keepLines/>
      <w:keepNext/>
      <w:spacing w:before="320"/>
      <w:outlineLvl w:val="6"/>
    </w:pPr>
  </w:style>
  <w:style w:type="paragraph" w:styleId="864">
    <w:name w:val="Heading 8"/>
    <w:basedOn w:val="856"/>
    <w:next w:val="856"/>
    <w:link w:val="876"/>
    <w:qFormat/>
    <w:uiPriority w:val="9"/>
    <w:unhideWhenUsed/>
    <w:rPr>
      <w:rFonts w:ascii="Arial" w:hAnsi="Arial" w:cs="Arial" w:eastAsia="Arial"/>
      <w:i/>
      <w:iCs/>
    </w:rPr>
    <w:pPr>
      <w:keepLines/>
      <w:keepNext/>
      <w:spacing w:before="320"/>
      <w:outlineLvl w:val="7"/>
    </w:pPr>
  </w:style>
  <w:style w:type="paragraph" w:styleId="865">
    <w:name w:val="Heading 9"/>
    <w:basedOn w:val="856"/>
    <w:next w:val="856"/>
    <w:link w:val="877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before="320"/>
      <w:outlineLvl w:val="8"/>
    </w:pPr>
  </w:style>
  <w:style w:type="character" w:styleId="866" w:default="1">
    <w:name w:val="Default Paragraph Font"/>
    <w:uiPriority w:val="1"/>
    <w:semiHidden/>
    <w:unhideWhenUsed/>
  </w:style>
  <w:style w:type="table" w:styleId="86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8" w:default="1">
    <w:name w:val="No List"/>
    <w:uiPriority w:val="99"/>
    <w:semiHidden/>
    <w:unhideWhenUsed/>
  </w:style>
  <w:style w:type="character" w:styleId="869" w:customStyle="1">
    <w:name w:val="Heading 1 Char"/>
    <w:basedOn w:val="866"/>
    <w:uiPriority w:val="9"/>
    <w:rPr>
      <w:rFonts w:ascii="Arial" w:hAnsi="Arial" w:cs="Arial" w:eastAsia="Arial"/>
      <w:sz w:val="40"/>
      <w:szCs w:val="40"/>
    </w:rPr>
  </w:style>
  <w:style w:type="character" w:styleId="870" w:customStyle="1">
    <w:name w:val="Heading 2 Char"/>
    <w:basedOn w:val="866"/>
    <w:uiPriority w:val="9"/>
    <w:rPr>
      <w:rFonts w:ascii="Arial" w:hAnsi="Arial" w:cs="Arial" w:eastAsia="Arial"/>
      <w:sz w:val="34"/>
    </w:rPr>
  </w:style>
  <w:style w:type="character" w:styleId="871" w:customStyle="1">
    <w:name w:val="Heading 3 Char"/>
    <w:basedOn w:val="866"/>
    <w:uiPriority w:val="9"/>
    <w:rPr>
      <w:rFonts w:ascii="Arial" w:hAnsi="Arial" w:cs="Arial" w:eastAsia="Arial"/>
      <w:sz w:val="30"/>
      <w:szCs w:val="30"/>
    </w:rPr>
  </w:style>
  <w:style w:type="character" w:styleId="872" w:customStyle="1">
    <w:name w:val="Heading 4 Char"/>
    <w:basedOn w:val="866"/>
    <w:uiPriority w:val="9"/>
    <w:rPr>
      <w:rFonts w:ascii="Arial" w:hAnsi="Arial" w:cs="Arial" w:eastAsia="Arial"/>
      <w:b/>
      <w:bCs/>
      <w:sz w:val="26"/>
      <w:szCs w:val="26"/>
    </w:rPr>
  </w:style>
  <w:style w:type="character" w:styleId="873" w:customStyle="1">
    <w:name w:val="Nagłówek 5 Znak"/>
    <w:basedOn w:val="866"/>
    <w:link w:val="861"/>
    <w:uiPriority w:val="9"/>
    <w:rPr>
      <w:rFonts w:ascii="Arial" w:hAnsi="Arial" w:cs="Arial" w:eastAsia="Arial"/>
      <w:b/>
      <w:bCs/>
      <w:sz w:val="24"/>
      <w:szCs w:val="24"/>
    </w:rPr>
  </w:style>
  <w:style w:type="character" w:styleId="874" w:customStyle="1">
    <w:name w:val="Nagłówek 6 Znak"/>
    <w:basedOn w:val="866"/>
    <w:link w:val="862"/>
    <w:uiPriority w:val="9"/>
    <w:rPr>
      <w:rFonts w:ascii="Arial" w:hAnsi="Arial" w:cs="Arial" w:eastAsia="Arial"/>
      <w:b/>
      <w:bCs/>
      <w:sz w:val="22"/>
      <w:szCs w:val="22"/>
    </w:rPr>
  </w:style>
  <w:style w:type="character" w:styleId="875" w:customStyle="1">
    <w:name w:val="Nagłówek 7 Znak"/>
    <w:basedOn w:val="866"/>
    <w:link w:val="86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876" w:customStyle="1">
    <w:name w:val="Nagłówek 8 Znak"/>
    <w:basedOn w:val="866"/>
    <w:link w:val="864"/>
    <w:uiPriority w:val="9"/>
    <w:rPr>
      <w:rFonts w:ascii="Arial" w:hAnsi="Arial" w:cs="Arial" w:eastAsia="Arial"/>
      <w:i/>
      <w:iCs/>
      <w:sz w:val="22"/>
      <w:szCs w:val="22"/>
    </w:rPr>
  </w:style>
  <w:style w:type="character" w:styleId="877" w:customStyle="1">
    <w:name w:val="Nagłówek 9 Znak"/>
    <w:basedOn w:val="866"/>
    <w:link w:val="865"/>
    <w:uiPriority w:val="9"/>
    <w:rPr>
      <w:rFonts w:ascii="Arial" w:hAnsi="Arial" w:cs="Arial" w:eastAsia="Arial"/>
      <w:i/>
      <w:iCs/>
      <w:sz w:val="21"/>
      <w:szCs w:val="21"/>
    </w:rPr>
  </w:style>
  <w:style w:type="character" w:styleId="878" w:customStyle="1">
    <w:name w:val="Title Char"/>
    <w:basedOn w:val="866"/>
    <w:uiPriority w:val="10"/>
    <w:rPr>
      <w:sz w:val="48"/>
      <w:szCs w:val="48"/>
    </w:rPr>
  </w:style>
  <w:style w:type="character" w:styleId="879" w:customStyle="1">
    <w:name w:val="Subtitle Char"/>
    <w:basedOn w:val="866"/>
    <w:uiPriority w:val="11"/>
    <w:rPr>
      <w:sz w:val="24"/>
      <w:szCs w:val="24"/>
    </w:rPr>
  </w:style>
  <w:style w:type="paragraph" w:styleId="880">
    <w:name w:val="Quote"/>
    <w:basedOn w:val="856"/>
    <w:next w:val="856"/>
    <w:link w:val="881"/>
    <w:qFormat/>
    <w:uiPriority w:val="29"/>
    <w:rPr>
      <w:i/>
    </w:rPr>
    <w:pPr>
      <w:ind w:left="720" w:right="720"/>
    </w:pPr>
  </w:style>
  <w:style w:type="character" w:styleId="881" w:customStyle="1">
    <w:name w:val="Cytat Znak"/>
    <w:link w:val="880"/>
    <w:uiPriority w:val="29"/>
    <w:rPr>
      <w:i/>
    </w:rPr>
  </w:style>
  <w:style w:type="paragraph" w:styleId="882">
    <w:name w:val="Intense Quote"/>
    <w:basedOn w:val="856"/>
    <w:next w:val="856"/>
    <w:link w:val="883"/>
    <w:qFormat/>
    <w:uiPriority w:val="30"/>
    <w:rPr>
      <w:i/>
    </w:rPr>
    <w:pPr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883" w:customStyle="1">
    <w:name w:val="Cytat intensywny Znak"/>
    <w:link w:val="882"/>
    <w:uiPriority w:val="30"/>
    <w:rPr>
      <w:i/>
    </w:rPr>
  </w:style>
  <w:style w:type="character" w:styleId="884" w:customStyle="1">
    <w:name w:val="Header Char"/>
    <w:basedOn w:val="866"/>
    <w:uiPriority w:val="99"/>
  </w:style>
  <w:style w:type="character" w:styleId="885" w:customStyle="1">
    <w:name w:val="Footer Char"/>
    <w:basedOn w:val="866"/>
    <w:uiPriority w:val="99"/>
  </w:style>
  <w:style w:type="table" w:styleId="886" w:customStyle="1">
    <w:name w:val="Lined"/>
    <w:basedOn w:val="867"/>
    <w:uiPriority w:val="99"/>
    <w:rPr>
      <w:color w:val="404040"/>
      <w:sz w:val="20"/>
      <w:szCs w:val="20"/>
    </w:rPr>
    <w:pPr>
      <w:spacing w:lineRule="auto" w:line="240" w:after="0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2F2F2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2F2F2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7F7F7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7F7F7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7F7F7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7F7F7F" w:color="auto"/>
      </w:tcPr>
    </w:tblStylePr>
  </w:style>
  <w:style w:type="table" w:styleId="887" w:customStyle="1">
    <w:name w:val="Lined - Accent 1"/>
    <w:basedOn w:val="867"/>
    <w:uiPriority w:val="99"/>
    <w:rPr>
      <w:color w:val="404040"/>
      <w:sz w:val="20"/>
      <w:szCs w:val="20"/>
    </w:rPr>
    <w:pPr>
      <w:spacing w:lineRule="auto" w:line="240" w:after="0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C6D9F1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C6D9F1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548DD4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548DD4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548DD4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548DD4" w:color="auto"/>
      </w:tcPr>
    </w:tblStylePr>
  </w:style>
  <w:style w:type="table" w:styleId="888" w:customStyle="1">
    <w:name w:val="Lined - Accent 2"/>
    <w:basedOn w:val="867"/>
    <w:uiPriority w:val="99"/>
    <w:rPr>
      <w:color w:val="404040"/>
      <w:sz w:val="20"/>
      <w:szCs w:val="20"/>
    </w:rPr>
    <w:pPr>
      <w:spacing w:lineRule="auto" w:line="240" w:after="0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2DBDB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2DBDB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D99594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D99594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D99594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D99594" w:color="auto"/>
      </w:tcPr>
    </w:tblStylePr>
  </w:style>
  <w:style w:type="table" w:styleId="889" w:customStyle="1">
    <w:name w:val="Lined - Accent 3"/>
    <w:basedOn w:val="867"/>
    <w:uiPriority w:val="99"/>
    <w:rPr>
      <w:color w:val="404040"/>
      <w:sz w:val="20"/>
      <w:szCs w:val="20"/>
    </w:rPr>
    <w:pPr>
      <w:spacing w:lineRule="auto" w:line="240" w:after="0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EAF1DD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EAF1DD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9BB559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9BB559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9BB559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9BB559" w:color="auto"/>
      </w:tcPr>
    </w:tblStylePr>
  </w:style>
  <w:style w:type="table" w:styleId="890" w:customStyle="1">
    <w:name w:val="Lined - Accent 4"/>
    <w:basedOn w:val="867"/>
    <w:uiPriority w:val="99"/>
    <w:rPr>
      <w:color w:val="404040"/>
      <w:sz w:val="20"/>
      <w:szCs w:val="20"/>
    </w:rPr>
    <w:pPr>
      <w:spacing w:lineRule="auto" w:line="240" w:after="0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E5DFEC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E5DFEC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B2A1C7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B2A1C7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B2A1C7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B2A1C7" w:color="auto"/>
      </w:tcPr>
    </w:tblStylePr>
  </w:style>
  <w:style w:type="table" w:styleId="891" w:customStyle="1">
    <w:name w:val="Lined - Accent 5"/>
    <w:basedOn w:val="867"/>
    <w:uiPriority w:val="99"/>
    <w:rPr>
      <w:color w:val="404040"/>
      <w:sz w:val="20"/>
      <w:szCs w:val="20"/>
    </w:rPr>
    <w:pPr>
      <w:spacing w:lineRule="auto" w:line="240" w:after="0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DAEEF3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DAEEF3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4BACC6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4BACC6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4BACC6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4BACC6" w:color="auto"/>
      </w:tcPr>
    </w:tblStylePr>
  </w:style>
  <w:style w:type="table" w:styleId="892" w:customStyle="1">
    <w:name w:val="Lined - Accent 6"/>
    <w:basedOn w:val="867"/>
    <w:uiPriority w:val="99"/>
    <w:rPr>
      <w:color w:val="404040"/>
      <w:sz w:val="20"/>
      <w:szCs w:val="20"/>
    </w:rPr>
    <w:pPr>
      <w:spacing w:lineRule="auto" w:line="240" w:after="0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DE9D9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DE9D9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79646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79646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79646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79646" w:color="auto"/>
      </w:tcPr>
    </w:tblStylePr>
  </w:style>
  <w:style w:type="table" w:styleId="893" w:customStyle="1">
    <w:name w:val="Bordered"/>
    <w:basedOn w:val="867"/>
    <w:uiPriority w:val="99"/>
    <w:pPr>
      <w:spacing w:lineRule="auto" w:line="240" w:after="0"/>
    </w:pPr>
    <w:tblPr>
      <w:tblStyleRowBandSize w:val="1"/>
      <w:tblStyleColBandSize w:val="1"/>
      <w:tblBorders>
        <w:left w:val="single" w:color="D9D9D9" w:sz="4" w:space="0"/>
        <w:top w:val="single" w:color="D9D9D9" w:sz="4" w:space="0"/>
        <w:right w:val="single" w:color="D9D9D9" w:sz="4" w:space="0"/>
        <w:bottom w:val="single" w:color="D9D9D9" w:sz="4" w:space="0"/>
        <w:insideV w:val="single" w:color="D9D9D9" w:sz="4" w:space="0"/>
        <w:insideH w:val="single" w:color="D9D9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/>
          <w:top w:val="single" w:color="D9D9D9" w:sz="4" w:space="0"/>
          <w:right w:val="single" w:color="D9D9D9" w:sz="4" w:space="0"/>
          <w:bottom w:val="single" w:color="D9D9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7F7F7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/>
        </w:tcBorders>
      </w:tcPr>
    </w:tblStylePr>
  </w:style>
  <w:style w:type="table" w:styleId="894" w:customStyle="1">
    <w:name w:val="Bordered - Accent 1"/>
    <w:basedOn w:val="867"/>
    <w:uiPriority w:val="99"/>
    <w:pPr>
      <w:spacing w:lineRule="auto" w:line="240" w:after="0"/>
    </w:pPr>
    <w:tblPr>
      <w:tblStyleRowBandSize w:val="1"/>
      <w:tblStyleColBandSize w:val="1"/>
      <w:tblBorders>
        <w:left w:val="single" w:color="B8CCE4" w:sz="4" w:space="0"/>
        <w:top w:val="single" w:color="B8CCE4" w:sz="4" w:space="0"/>
        <w:right w:val="single" w:color="B8CCE4" w:sz="4" w:space="0"/>
        <w:bottom w:val="single" w:color="B8CCE4" w:sz="4" w:space="0"/>
        <w:insideV w:val="single" w:color="B8CCE4" w:sz="4" w:space="0"/>
        <w:insideH w:val="single" w:color="B8CCE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8CCE4" w:sz="4" w:space="0"/>
          <w:top w:val="single" w:color="B8CCE4" w:sz="4" w:space="0"/>
          <w:right w:val="single" w:color="B8CCE4" w:sz="4" w:space="0"/>
          <w:bottom w:val="single" w:color="B8CCE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4F81BD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/>
        </w:tcBorders>
      </w:tcPr>
    </w:tblStylePr>
  </w:style>
  <w:style w:type="table" w:styleId="895" w:customStyle="1">
    <w:name w:val="Bordered - Accent 2"/>
    <w:basedOn w:val="867"/>
    <w:uiPriority w:val="99"/>
    <w:pPr>
      <w:spacing w:lineRule="auto" w:line="240" w:after="0"/>
    </w:pPr>
    <w:tblPr>
      <w:tblStyleRowBandSize w:val="1"/>
      <w:tblStyleColBandSize w:val="1"/>
      <w:tblBorders>
        <w:left w:val="single" w:color="E5B8B7" w:sz="4" w:space="0"/>
        <w:top w:val="single" w:color="E5B8B7" w:sz="4" w:space="0"/>
        <w:right w:val="single" w:color="E5B8B7" w:sz="4" w:space="0"/>
        <w:bottom w:val="single" w:color="E5B8B7" w:sz="4" w:space="0"/>
        <w:insideV w:val="single" w:color="E5B8B7" w:sz="4" w:space="0"/>
        <w:insideH w:val="single" w:color="E5B8B7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8B7" w:sz="4" w:space="0"/>
          <w:top w:val="single" w:color="E5B8B7" w:sz="4" w:space="0"/>
          <w:right w:val="single" w:color="E5B8B7" w:sz="4" w:space="0"/>
          <w:bottom w:val="single" w:color="E5B8B7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D99594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594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594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594" w:sz="12" w:space="0"/>
        </w:tcBorders>
      </w:tcPr>
    </w:tblStylePr>
  </w:style>
  <w:style w:type="table" w:styleId="896" w:customStyle="1">
    <w:name w:val="Bordered - Accent 3"/>
    <w:basedOn w:val="867"/>
    <w:uiPriority w:val="99"/>
    <w:pPr>
      <w:spacing w:lineRule="auto" w:line="240" w:after="0"/>
    </w:pPr>
    <w:tblPr>
      <w:tblStyleRowBandSize w:val="1"/>
      <w:tblStyleColBandSize w:val="1"/>
      <w:tblBorders>
        <w:left w:val="single" w:color="D6E3BC" w:sz="4" w:space="0"/>
        <w:top w:val="single" w:color="D6E3BC" w:sz="4" w:space="0"/>
        <w:right w:val="single" w:color="D6E3BC" w:sz="4" w:space="0"/>
        <w:bottom w:val="single" w:color="D6E3BC" w:sz="4" w:space="0"/>
        <w:insideV w:val="single" w:color="D6E3BC" w:sz="4" w:space="0"/>
        <w:insideH w:val="single" w:color="D6E3B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C" w:sz="4" w:space="0"/>
          <w:top w:val="single" w:color="D6E3BC" w:sz="4" w:space="0"/>
          <w:right w:val="single" w:color="D6E3BC" w:sz="4" w:space="0"/>
          <w:bottom w:val="single" w:color="D6E3BC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C2D69B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2D69B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2D69B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2D69B" w:sz="12" w:space="0"/>
        </w:tcBorders>
      </w:tcPr>
    </w:tblStylePr>
  </w:style>
  <w:style w:type="table" w:styleId="897" w:customStyle="1">
    <w:name w:val="Bordered - Accent 4"/>
    <w:basedOn w:val="867"/>
    <w:uiPriority w:val="99"/>
    <w:pPr>
      <w:spacing w:lineRule="auto" w:line="240" w:after="0"/>
    </w:pPr>
    <w:tblPr>
      <w:tblStyleRowBandSize w:val="1"/>
      <w:tblStyleColBandSize w:val="1"/>
      <w:tblBorders>
        <w:left w:val="single" w:color="CCC0D9" w:sz="4" w:space="0"/>
        <w:top w:val="single" w:color="CCC0D9" w:sz="4" w:space="0"/>
        <w:right w:val="single" w:color="CCC0D9" w:sz="4" w:space="0"/>
        <w:bottom w:val="single" w:color="CCC0D9" w:sz="4" w:space="0"/>
        <w:insideV w:val="single" w:color="CCC0D9" w:sz="4" w:space="0"/>
        <w:insideH w:val="single" w:color="CCC0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CC0D9" w:sz="4" w:space="0"/>
          <w:top w:val="single" w:color="CCC0D9" w:sz="4" w:space="0"/>
          <w:right w:val="single" w:color="CCC0D9" w:sz="4" w:space="0"/>
          <w:bottom w:val="single" w:color="CCC0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B2A1C7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7" w:sz="12" w:space="0"/>
        </w:tcBorders>
      </w:tcPr>
    </w:tblStylePr>
  </w:style>
  <w:style w:type="table" w:styleId="898" w:customStyle="1">
    <w:name w:val="Bordered - Accent 5"/>
    <w:basedOn w:val="867"/>
    <w:uiPriority w:val="99"/>
    <w:pPr>
      <w:spacing w:lineRule="auto" w:line="240" w:after="0"/>
    </w:pPr>
    <w:tblPr>
      <w:tblStyleRowBandSize w:val="1"/>
      <w:tblStyleColBandSize w:val="1"/>
      <w:tblBorders>
        <w:left w:val="single" w:color="B6DDE8" w:sz="4" w:space="0"/>
        <w:top w:val="single" w:color="B6DDE8" w:sz="4" w:space="0"/>
        <w:right w:val="single" w:color="B6DDE8" w:sz="4" w:space="0"/>
        <w:bottom w:val="single" w:color="B6DDE8" w:sz="4" w:space="0"/>
        <w:insideV w:val="single" w:color="B6DDE8" w:sz="4" w:space="0"/>
        <w:insideH w:val="single" w:color="B6DDE8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/>
          <w:top w:val="single" w:color="B6DDE8" w:sz="4" w:space="0"/>
          <w:right w:val="single" w:color="B6DDE8" w:sz="4" w:space="0"/>
          <w:bottom w:val="single" w:color="B6DDE8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92CDDC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DDC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DDC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DDC" w:sz="12" w:space="0"/>
        </w:tcBorders>
      </w:tcPr>
    </w:tblStylePr>
  </w:style>
  <w:style w:type="table" w:styleId="899" w:customStyle="1">
    <w:name w:val="Bordered - Accent 6"/>
    <w:basedOn w:val="867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BD4B4" w:sz="4" w:space="0"/>
        <w:top w:val="single" w:color="FBD4B4" w:sz="4" w:space="0"/>
        <w:right w:val="single" w:color="FBD4B4" w:sz="4" w:space="0"/>
        <w:bottom w:val="single" w:color="FBD4B4" w:sz="4" w:space="0"/>
        <w:insideV w:val="single" w:color="FBD4B4" w:sz="4" w:space="0"/>
        <w:insideH w:val="single" w:color="FBD4B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/>
          <w:top w:val="single" w:color="FBD4B4" w:sz="4" w:space="0"/>
          <w:right w:val="single" w:color="FBD4B4" w:sz="4" w:space="0"/>
          <w:bottom w:val="single" w:color="FBD4B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FABF8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BF8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BF8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BF8F" w:sz="12" w:space="0"/>
        </w:tcBorders>
      </w:tcPr>
    </w:tblStylePr>
  </w:style>
  <w:style w:type="table" w:styleId="900" w:customStyle="1">
    <w:name w:val="Bordered &amp; Lined"/>
    <w:basedOn w:val="867"/>
    <w:uiPriority w:val="99"/>
    <w:rPr>
      <w:color w:val="404040"/>
      <w:sz w:val="20"/>
      <w:szCs w:val="20"/>
    </w:rPr>
    <w:pPr>
      <w:spacing w:lineRule="auto" w:line="240" w:after="0"/>
    </w:pPr>
    <w:tblPr>
      <w:tblStyleRowBandSize w:val="1"/>
      <w:tblStyleColBandSize w:val="1"/>
      <w:tblBorders>
        <w:left w:val="single" w:color="595959" w:sz="4" w:space="0"/>
        <w:top w:val="single" w:color="595959" w:sz="4" w:space="0"/>
        <w:right w:val="single" w:color="595959" w:sz="4" w:space="0"/>
        <w:bottom w:val="single" w:color="595959" w:sz="4" w:space="0"/>
        <w:insideV w:val="single" w:color="595959" w:sz="4" w:space="0"/>
        <w:insideH w:val="single" w:color="59595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2F2F2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D9D9D9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7F7F7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7F7F7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7F7F7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7F7F7F" w:color="auto"/>
      </w:tcPr>
    </w:tblStylePr>
  </w:style>
  <w:style w:type="table" w:styleId="901" w:customStyle="1">
    <w:name w:val="Bordered &amp; Lined - Accent 1"/>
    <w:basedOn w:val="867"/>
    <w:uiPriority w:val="99"/>
    <w:rPr>
      <w:color w:val="404040"/>
      <w:sz w:val="20"/>
      <w:szCs w:val="20"/>
    </w:rPr>
    <w:pPr>
      <w:spacing w:lineRule="auto" w:line="240" w:after="0"/>
    </w:pPr>
    <w:tblPr>
      <w:tblStyleRowBandSize w:val="1"/>
      <w:tblStyleColBandSize w:val="1"/>
      <w:tblBorders>
        <w:left w:val="single" w:color="1F497D" w:sz="4" w:space="0"/>
        <w:top w:val="single" w:color="1F497D" w:sz="4" w:space="0"/>
        <w:right w:val="single" w:color="1F497D" w:sz="4" w:space="0"/>
        <w:bottom w:val="single" w:color="1F497D" w:sz="4" w:space="0"/>
        <w:insideV w:val="single" w:color="1F497D" w:sz="4" w:space="0"/>
        <w:insideH w:val="single" w:color="1F497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C6D9F1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C6D9F1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548DD4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548DD4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548DD4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548DD4" w:color="auto"/>
      </w:tcPr>
    </w:tblStylePr>
  </w:style>
  <w:style w:type="table" w:styleId="902" w:customStyle="1">
    <w:name w:val="Bordered &amp; Lined - Accent 2"/>
    <w:basedOn w:val="867"/>
    <w:uiPriority w:val="99"/>
    <w:rPr>
      <w:color w:val="404040"/>
      <w:sz w:val="20"/>
      <w:szCs w:val="20"/>
    </w:rPr>
    <w:pPr>
      <w:spacing w:lineRule="auto" w:line="240" w:after="0"/>
    </w:pPr>
    <w:tblPr>
      <w:tblStyleRowBandSize w:val="1"/>
      <w:tblStyleColBandSize w:val="1"/>
      <w:tblBorders>
        <w:left w:val="single" w:color="C0504D" w:sz="4" w:space="0"/>
        <w:top w:val="single" w:color="C0504D" w:sz="4" w:space="0"/>
        <w:right w:val="single" w:color="C0504D" w:sz="4" w:space="0"/>
        <w:bottom w:val="single" w:color="C0504D" w:sz="4" w:space="0"/>
        <w:insideV w:val="single" w:color="C0504D" w:sz="4" w:space="0"/>
        <w:insideH w:val="single" w:color="C0504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2DBDB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2DBDB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D99594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D99594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D99594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D99594" w:color="auto"/>
      </w:tcPr>
    </w:tblStylePr>
  </w:style>
  <w:style w:type="table" w:styleId="903" w:customStyle="1">
    <w:name w:val="Bordered &amp; Lined - Accent 3"/>
    <w:basedOn w:val="867"/>
    <w:uiPriority w:val="99"/>
    <w:rPr>
      <w:color w:val="404040"/>
      <w:sz w:val="20"/>
      <w:szCs w:val="20"/>
    </w:rPr>
    <w:pPr>
      <w:spacing w:lineRule="auto" w:line="240" w:after="0"/>
    </w:pPr>
    <w:tblPr>
      <w:tblStyleRowBandSize w:val="1"/>
      <w:tblStyleColBandSize w:val="1"/>
      <w:tblBorders>
        <w:left w:val="single" w:color="76923C" w:sz="4" w:space="0"/>
        <w:top w:val="single" w:color="76923C" w:sz="4" w:space="0"/>
        <w:right w:val="single" w:color="76923C" w:sz="4" w:space="0"/>
        <w:bottom w:val="single" w:color="76923C" w:sz="4" w:space="0"/>
        <w:insideV w:val="single" w:color="76923C" w:sz="4" w:space="0"/>
        <w:insideH w:val="single" w:color="76923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EAF1DD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EAF1DD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9BBB59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9BBB59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9BBB59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9BBB59" w:color="auto"/>
      </w:tcPr>
    </w:tblStylePr>
  </w:style>
  <w:style w:type="table" w:styleId="904" w:customStyle="1">
    <w:name w:val="Bordered &amp; Lined - Accent 4"/>
    <w:basedOn w:val="867"/>
    <w:uiPriority w:val="99"/>
    <w:rPr>
      <w:color w:val="404040"/>
      <w:sz w:val="20"/>
      <w:szCs w:val="20"/>
    </w:rPr>
    <w:pPr>
      <w:spacing w:lineRule="auto" w:line="240" w:after="0"/>
    </w:pPr>
    <w:tblPr>
      <w:tblStyleRowBandSize w:val="1"/>
      <w:tblStyleColBandSize w:val="1"/>
      <w:tblBorders>
        <w:left w:val="single" w:color="8064A2" w:sz="4" w:space="0"/>
        <w:top w:val="single" w:color="8064A2" w:sz="4" w:space="0"/>
        <w:right w:val="single" w:color="8064A2" w:sz="4" w:space="0"/>
        <w:bottom w:val="single" w:color="8064A2" w:sz="4" w:space="0"/>
        <w:insideV w:val="single" w:color="8064A2" w:sz="4" w:space="0"/>
        <w:insideH w:val="single" w:color="8064A2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E5DFEC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E5DFEC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B2A1C7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B2A1C7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B2A1C7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B2A1C7" w:color="auto"/>
      </w:tcPr>
    </w:tblStylePr>
  </w:style>
  <w:style w:type="table" w:styleId="905" w:customStyle="1">
    <w:name w:val="Bordered &amp; Lined - Accent 5"/>
    <w:basedOn w:val="867"/>
    <w:uiPriority w:val="99"/>
    <w:rPr>
      <w:color w:val="404040"/>
      <w:sz w:val="20"/>
      <w:szCs w:val="20"/>
    </w:rPr>
    <w:pPr>
      <w:spacing w:lineRule="auto" w:line="240" w:after="0"/>
    </w:pPr>
    <w:tblPr>
      <w:tblStyleRowBandSize w:val="1"/>
      <w:tblStyleColBandSize w:val="1"/>
      <w:tblBorders>
        <w:left w:val="single" w:color="31849B" w:sz="4" w:space="0"/>
        <w:top w:val="single" w:color="31849B" w:sz="4" w:space="0"/>
        <w:right w:val="single" w:color="31849B" w:sz="4" w:space="0"/>
        <w:bottom w:val="single" w:color="31849B" w:sz="4" w:space="0"/>
        <w:insideV w:val="single" w:color="31849B" w:sz="4" w:space="0"/>
        <w:insideH w:val="single" w:color="31849B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DAEEF3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DAEEF3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4BACC6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4BACC6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4BACC6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4BACC6" w:color="auto"/>
      </w:tcPr>
    </w:tblStylePr>
  </w:style>
  <w:style w:type="table" w:styleId="906" w:customStyle="1">
    <w:name w:val="Bordered &amp; Lined - Accent 6"/>
    <w:basedOn w:val="867"/>
    <w:uiPriority w:val="99"/>
    <w:rPr>
      <w:color w:val="404040"/>
      <w:sz w:val="20"/>
      <w:szCs w:val="20"/>
    </w:rPr>
    <w:pPr>
      <w:spacing w:lineRule="auto" w:line="240" w:after="0"/>
    </w:pPr>
    <w:tblPr>
      <w:tblStyleRowBandSize w:val="1"/>
      <w:tblStyleColBandSize w:val="1"/>
      <w:tblBorders>
        <w:left w:val="single" w:color="E36C0A" w:sz="4" w:space="0"/>
        <w:top w:val="single" w:color="E36C0A" w:sz="4" w:space="0"/>
        <w:right w:val="single" w:color="E36C0A" w:sz="4" w:space="0"/>
        <w:bottom w:val="single" w:color="E36C0A" w:sz="4" w:space="0"/>
        <w:insideV w:val="single" w:color="E36C0A" w:sz="4" w:space="0"/>
        <w:insideH w:val="single" w:color="E36C0A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DE9D9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DE9D9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79646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79646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79646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79646" w:color="auto"/>
      </w:tcPr>
    </w:tblStylePr>
  </w:style>
  <w:style w:type="paragraph" w:styleId="907">
    <w:name w:val="footnote text"/>
    <w:basedOn w:val="856"/>
    <w:link w:val="908"/>
    <w:uiPriority w:val="99"/>
    <w:semiHidden/>
    <w:unhideWhenUsed/>
    <w:rPr>
      <w:sz w:val="18"/>
    </w:rPr>
    <w:pPr>
      <w:spacing w:lineRule="auto" w:line="240" w:after="40"/>
    </w:pPr>
  </w:style>
  <w:style w:type="character" w:styleId="908" w:customStyle="1">
    <w:name w:val="Tekst przypisu dolnego Znak"/>
    <w:link w:val="907"/>
    <w:uiPriority w:val="99"/>
    <w:rPr>
      <w:sz w:val="18"/>
    </w:rPr>
  </w:style>
  <w:style w:type="character" w:styleId="909">
    <w:name w:val="footnote reference"/>
    <w:basedOn w:val="866"/>
    <w:uiPriority w:val="99"/>
    <w:unhideWhenUsed/>
    <w:rPr>
      <w:vertAlign w:val="superscript"/>
    </w:rPr>
  </w:style>
  <w:style w:type="paragraph" w:styleId="910">
    <w:name w:val="toc 1"/>
    <w:basedOn w:val="856"/>
    <w:next w:val="856"/>
    <w:uiPriority w:val="39"/>
    <w:unhideWhenUsed/>
    <w:pPr>
      <w:spacing w:after="57"/>
    </w:pPr>
  </w:style>
  <w:style w:type="paragraph" w:styleId="911">
    <w:name w:val="toc 2"/>
    <w:basedOn w:val="856"/>
    <w:next w:val="856"/>
    <w:uiPriority w:val="39"/>
    <w:unhideWhenUsed/>
    <w:pPr>
      <w:ind w:left="283"/>
      <w:spacing w:after="57"/>
    </w:pPr>
  </w:style>
  <w:style w:type="paragraph" w:styleId="912">
    <w:name w:val="toc 3"/>
    <w:basedOn w:val="856"/>
    <w:next w:val="856"/>
    <w:uiPriority w:val="39"/>
    <w:unhideWhenUsed/>
    <w:pPr>
      <w:ind w:left="567"/>
      <w:spacing w:after="57"/>
    </w:pPr>
  </w:style>
  <w:style w:type="paragraph" w:styleId="913">
    <w:name w:val="toc 4"/>
    <w:basedOn w:val="856"/>
    <w:next w:val="856"/>
    <w:uiPriority w:val="39"/>
    <w:unhideWhenUsed/>
    <w:pPr>
      <w:ind w:left="850"/>
      <w:spacing w:after="57"/>
    </w:pPr>
  </w:style>
  <w:style w:type="paragraph" w:styleId="914">
    <w:name w:val="toc 5"/>
    <w:basedOn w:val="856"/>
    <w:next w:val="856"/>
    <w:uiPriority w:val="39"/>
    <w:unhideWhenUsed/>
    <w:pPr>
      <w:ind w:left="1134"/>
      <w:spacing w:after="57"/>
    </w:pPr>
  </w:style>
  <w:style w:type="paragraph" w:styleId="915">
    <w:name w:val="toc 6"/>
    <w:basedOn w:val="856"/>
    <w:next w:val="856"/>
    <w:uiPriority w:val="39"/>
    <w:unhideWhenUsed/>
    <w:pPr>
      <w:ind w:left="1417"/>
      <w:spacing w:after="57"/>
    </w:pPr>
  </w:style>
  <w:style w:type="paragraph" w:styleId="916">
    <w:name w:val="toc 7"/>
    <w:basedOn w:val="856"/>
    <w:next w:val="856"/>
    <w:uiPriority w:val="39"/>
    <w:unhideWhenUsed/>
    <w:pPr>
      <w:ind w:left="1701"/>
      <w:spacing w:after="57"/>
    </w:pPr>
  </w:style>
  <w:style w:type="paragraph" w:styleId="917">
    <w:name w:val="toc 8"/>
    <w:basedOn w:val="856"/>
    <w:next w:val="856"/>
    <w:uiPriority w:val="39"/>
    <w:unhideWhenUsed/>
    <w:pPr>
      <w:ind w:left="1984"/>
      <w:spacing w:after="57"/>
    </w:pPr>
  </w:style>
  <w:style w:type="paragraph" w:styleId="918">
    <w:name w:val="toc 9"/>
    <w:basedOn w:val="856"/>
    <w:next w:val="856"/>
    <w:uiPriority w:val="39"/>
    <w:unhideWhenUsed/>
    <w:pPr>
      <w:ind w:left="2268"/>
      <w:spacing w:after="57"/>
    </w:pPr>
  </w:style>
  <w:style w:type="paragraph" w:styleId="919">
    <w:name w:val="TOC Heading"/>
    <w:uiPriority w:val="39"/>
    <w:unhideWhenUsed/>
  </w:style>
  <w:style w:type="paragraph" w:styleId="920">
    <w:name w:val="List Paragraph"/>
    <w:basedOn w:val="856"/>
    <w:link w:val="954"/>
    <w:qFormat/>
    <w:uiPriority w:val="34"/>
    <w:pPr>
      <w:contextualSpacing w:val="true"/>
      <w:ind w:left="720"/>
    </w:pPr>
  </w:style>
  <w:style w:type="paragraph" w:styleId="921">
    <w:name w:val="Header"/>
    <w:basedOn w:val="856"/>
    <w:link w:val="922"/>
    <w:uiPriority w:val="99"/>
    <w:unhideWhenUsed/>
    <w:pPr>
      <w:spacing w:lineRule="auto" w:line="240" w:after="0"/>
      <w:tabs>
        <w:tab w:val="center" w:pos="4536" w:leader="none"/>
        <w:tab w:val="right" w:pos="9072" w:leader="none"/>
      </w:tabs>
    </w:pPr>
  </w:style>
  <w:style w:type="character" w:styleId="922" w:customStyle="1">
    <w:name w:val="Nagłówek Znak"/>
    <w:basedOn w:val="866"/>
    <w:link w:val="921"/>
    <w:uiPriority w:val="99"/>
  </w:style>
  <w:style w:type="character" w:styleId="923">
    <w:name w:val="Hyperlink"/>
    <w:basedOn w:val="866"/>
    <w:uiPriority w:val="99"/>
    <w:unhideWhenUsed/>
    <w:rPr>
      <w:color w:val="0000FF" w:themeColor="hyperlink"/>
      <w:u w:val="single"/>
    </w:rPr>
  </w:style>
  <w:style w:type="table" w:styleId="924">
    <w:name w:val="Table Grid"/>
    <w:basedOn w:val="867"/>
    <w:uiPriority w:val="59"/>
    <w:pPr>
      <w:spacing w:lineRule="auto" w:line="240" w:after="0"/>
    </w:pPr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paragraph" w:styleId="925">
    <w:name w:val="Footer"/>
    <w:basedOn w:val="856"/>
    <w:link w:val="926"/>
    <w:uiPriority w:val="99"/>
    <w:unhideWhenUsed/>
    <w:pPr>
      <w:spacing w:lineRule="auto" w:line="240" w:after="0"/>
      <w:tabs>
        <w:tab w:val="center" w:pos="4536" w:leader="none"/>
        <w:tab w:val="right" w:pos="9072" w:leader="none"/>
      </w:tabs>
    </w:pPr>
  </w:style>
  <w:style w:type="character" w:styleId="926" w:customStyle="1">
    <w:name w:val="Stopka Znak"/>
    <w:basedOn w:val="866"/>
    <w:link w:val="925"/>
    <w:uiPriority w:val="99"/>
  </w:style>
  <w:style w:type="paragraph" w:styleId="927">
    <w:name w:val="Balloon Text"/>
    <w:basedOn w:val="856"/>
    <w:link w:val="928"/>
    <w:uiPriority w:val="99"/>
    <w:semiHidden/>
    <w:unhideWhenUsed/>
    <w:rPr>
      <w:rFonts w:ascii="Tahoma" w:hAnsi="Tahoma" w:cs="Tahoma"/>
      <w:sz w:val="16"/>
      <w:szCs w:val="16"/>
    </w:rPr>
    <w:pPr>
      <w:spacing w:lineRule="auto" w:line="240" w:after="0"/>
    </w:pPr>
  </w:style>
  <w:style w:type="character" w:styleId="928" w:customStyle="1">
    <w:name w:val="Tekst dymka Znak"/>
    <w:basedOn w:val="866"/>
    <w:link w:val="927"/>
    <w:uiPriority w:val="99"/>
    <w:semiHidden/>
    <w:rPr>
      <w:rFonts w:ascii="Tahoma" w:hAnsi="Tahoma" w:cs="Tahoma"/>
      <w:sz w:val="16"/>
      <w:szCs w:val="16"/>
    </w:rPr>
  </w:style>
  <w:style w:type="paragraph" w:styleId="929" w:customStyle="1">
    <w:name w:val="Standard"/>
    <w:rPr>
      <w:rFonts w:ascii="Liberation Serif" w:hAnsi="Liberation Serif" w:cs="Mangal" w:eastAsia="SimSun"/>
      <w:sz w:val="24"/>
      <w:szCs w:val="24"/>
      <w:lang w:val="en-US" w:bidi="hi-IN" w:eastAsia="zh-CN"/>
    </w:rPr>
    <w:pPr>
      <w:spacing w:lineRule="auto" w:line="240" w:after="0"/>
    </w:pPr>
  </w:style>
  <w:style w:type="paragraph" w:styleId="930" w:customStyle="1">
    <w:name w:val="Table Contents"/>
    <w:basedOn w:val="929"/>
  </w:style>
  <w:style w:type="character" w:styleId="931" w:customStyle="1">
    <w:name w:val="Nagłówek 1 Znak"/>
    <w:basedOn w:val="866"/>
    <w:link w:val="857"/>
    <w:uiPriority w:val="9"/>
    <w:rPr>
      <w:rFonts w:ascii="Times New Roman" w:hAnsi="Times New Roman" w:cs="Times New Roman" w:eastAsia="Times New Roman"/>
      <w:b/>
      <w:bCs/>
      <w:sz w:val="48"/>
      <w:szCs w:val="48"/>
      <w:lang w:eastAsia="pl-PL"/>
    </w:rPr>
  </w:style>
  <w:style w:type="character" w:styleId="932" w:customStyle="1">
    <w:name w:val="Nagłówek 3 Znak"/>
    <w:basedOn w:val="866"/>
    <w:link w:val="859"/>
    <w:uiPriority w:val="9"/>
    <w:semiHidden/>
    <w:rPr>
      <w:rFonts w:ascii="Cambria" w:hAnsi="Cambria" w:cs="Cambria" w:eastAsia="Cambria"/>
      <w:b/>
      <w:bCs/>
      <w:color w:val="4F81BD" w:themeColor="accent1"/>
    </w:rPr>
  </w:style>
  <w:style w:type="paragraph" w:styleId="933">
    <w:name w:val="Body Text"/>
    <w:basedOn w:val="856"/>
    <w:link w:val="934"/>
    <w:rPr>
      <w:rFonts w:ascii="Times New Roman" w:hAnsi="Times New Roman" w:cs="Times New Roman"/>
      <w:sz w:val="24"/>
      <w:szCs w:val="24"/>
      <w:lang w:eastAsia="ar-SA"/>
    </w:rPr>
    <w:pPr>
      <w:spacing w:lineRule="auto" w:line="240" w:after="120"/>
    </w:pPr>
  </w:style>
  <w:style w:type="character" w:styleId="934" w:customStyle="1">
    <w:name w:val="Tekst podstawowy Znak"/>
    <w:basedOn w:val="866"/>
    <w:link w:val="933"/>
    <w:rPr>
      <w:rFonts w:ascii="Times New Roman" w:hAnsi="Times New Roman" w:cs="Times New Roman" w:eastAsia="Calibri"/>
      <w:sz w:val="24"/>
      <w:szCs w:val="24"/>
      <w:lang w:eastAsia="ar-SA"/>
    </w:rPr>
  </w:style>
  <w:style w:type="paragraph" w:styleId="935">
    <w:name w:val="Title"/>
    <w:basedOn w:val="856"/>
    <w:next w:val="943"/>
    <w:link w:val="936"/>
    <w:qFormat/>
    <w:rPr>
      <w:rFonts w:ascii="Times New Roman" w:hAnsi="Times New Roman" w:cs="Times New Roman"/>
      <w:b/>
      <w:bCs/>
      <w:sz w:val="28"/>
      <w:szCs w:val="28"/>
      <w:lang w:eastAsia="ar-SA"/>
    </w:rPr>
    <w:pPr>
      <w:jc w:val="center"/>
      <w:spacing w:lineRule="auto" w:line="240" w:after="0"/>
    </w:pPr>
  </w:style>
  <w:style w:type="character" w:styleId="936" w:customStyle="1">
    <w:name w:val="Tytuł Znak"/>
    <w:basedOn w:val="866"/>
    <w:link w:val="935"/>
    <w:rPr>
      <w:rFonts w:ascii="Times New Roman" w:hAnsi="Times New Roman" w:cs="Times New Roman" w:eastAsia="Calibri"/>
      <w:b/>
      <w:bCs/>
      <w:sz w:val="28"/>
      <w:szCs w:val="28"/>
      <w:lang w:eastAsia="ar-SA"/>
    </w:rPr>
  </w:style>
  <w:style w:type="paragraph" w:styleId="937">
    <w:name w:val="Body Text 3"/>
    <w:basedOn w:val="856"/>
    <w:link w:val="938"/>
    <w:rPr>
      <w:rFonts w:ascii="Times New Roman" w:hAnsi="Times New Roman" w:cs="Times New Roman"/>
      <w:sz w:val="16"/>
      <w:szCs w:val="16"/>
    </w:rPr>
    <w:pPr>
      <w:spacing w:lineRule="auto" w:line="240" w:after="120"/>
    </w:pPr>
  </w:style>
  <w:style w:type="character" w:styleId="938" w:customStyle="1">
    <w:name w:val="Tekst podstawowy 3 Znak"/>
    <w:basedOn w:val="866"/>
    <w:link w:val="937"/>
    <w:rPr>
      <w:rFonts w:ascii="Times New Roman" w:hAnsi="Times New Roman" w:cs="Times New Roman" w:eastAsia="Calibri"/>
      <w:sz w:val="16"/>
      <w:szCs w:val="16"/>
    </w:rPr>
  </w:style>
  <w:style w:type="paragraph" w:styleId="939">
    <w:name w:val="Body Text 2"/>
    <w:basedOn w:val="856"/>
    <w:link w:val="940"/>
    <w:rPr>
      <w:rFonts w:ascii="Times New Roman" w:hAnsi="Times New Roman" w:cs="Times New Roman"/>
      <w:sz w:val="24"/>
      <w:szCs w:val="24"/>
    </w:rPr>
    <w:pPr>
      <w:spacing w:lineRule="auto" w:line="480" w:after="120"/>
    </w:pPr>
  </w:style>
  <w:style w:type="character" w:styleId="940" w:customStyle="1">
    <w:name w:val="Tekst podstawowy 2 Znak"/>
    <w:basedOn w:val="866"/>
    <w:link w:val="939"/>
    <w:rPr>
      <w:rFonts w:ascii="Times New Roman" w:hAnsi="Times New Roman" w:cs="Times New Roman" w:eastAsia="Calibri"/>
      <w:sz w:val="24"/>
      <w:szCs w:val="24"/>
      <w:lang w:eastAsia="pl-PL"/>
    </w:rPr>
  </w:style>
  <w:style w:type="paragraph" w:styleId="941" w:customStyle="1">
    <w:name w:val="Tekst podstawowy 21"/>
    <w:basedOn w:val="856"/>
    <w:rPr>
      <w:rFonts w:ascii="Arial" w:hAnsi="Arial" w:cs="Times New Roman" w:eastAsia="Times New Roman"/>
      <w:sz w:val="20"/>
      <w:szCs w:val="20"/>
    </w:rPr>
    <w:pPr>
      <w:jc w:val="both"/>
      <w:spacing w:lineRule="auto" w:line="240" w:after="0"/>
      <w:widowControl w:val="off"/>
    </w:pPr>
  </w:style>
  <w:style w:type="character" w:styleId="942" w:customStyle="1">
    <w:name w:val="Font Style93"/>
    <w:uiPriority w:val="99"/>
    <w:rPr>
      <w:rFonts w:ascii="Times New Roman" w:hAnsi="Times New Roman" w:cs="Times New Roman"/>
      <w:sz w:val="30"/>
      <w:szCs w:val="30"/>
    </w:rPr>
  </w:style>
  <w:style w:type="paragraph" w:styleId="943">
    <w:name w:val="Subtitle"/>
    <w:basedOn w:val="856"/>
    <w:next w:val="856"/>
    <w:link w:val="944"/>
    <w:qFormat/>
    <w:uiPriority w:val="11"/>
    <w:rPr>
      <w:rFonts w:ascii="Cambria" w:hAnsi="Cambria" w:cs="Cambria" w:eastAsia="Cambria"/>
      <w:i/>
      <w:iCs/>
      <w:color w:val="4F81BD" w:themeColor="accent1"/>
      <w:spacing w:val="15"/>
      <w:sz w:val="24"/>
      <w:szCs w:val="24"/>
      <w:lang w:eastAsia="ar-SA"/>
    </w:rPr>
    <w:pPr>
      <w:numPr>
        <w:ilvl w:val="1"/>
      </w:numPr>
      <w:spacing w:lineRule="auto" w:line="240" w:after="0"/>
    </w:pPr>
  </w:style>
  <w:style w:type="character" w:styleId="944" w:customStyle="1">
    <w:name w:val="Podtytuł Znak"/>
    <w:basedOn w:val="866"/>
    <w:link w:val="943"/>
    <w:uiPriority w:val="11"/>
    <w:rPr>
      <w:rFonts w:ascii="Cambria" w:hAnsi="Cambria" w:cs="Cambria" w:eastAsia="Cambria"/>
      <w:i/>
      <w:iCs/>
      <w:color w:val="4F81BD" w:themeColor="accent1"/>
      <w:spacing w:val="15"/>
      <w:sz w:val="24"/>
      <w:szCs w:val="24"/>
      <w:lang w:eastAsia="ar-SA"/>
    </w:rPr>
  </w:style>
  <w:style w:type="paragraph" w:styleId="945">
    <w:name w:val="endnote text"/>
    <w:basedOn w:val="856"/>
    <w:link w:val="946"/>
    <w:uiPriority w:val="99"/>
    <w:semiHidden/>
    <w:unhideWhenUsed/>
    <w:rPr>
      <w:sz w:val="20"/>
      <w:szCs w:val="20"/>
    </w:rPr>
    <w:pPr>
      <w:spacing w:lineRule="auto" w:line="240" w:after="0"/>
    </w:pPr>
  </w:style>
  <w:style w:type="character" w:styleId="946" w:customStyle="1">
    <w:name w:val="Tekst przypisu końcowego Znak"/>
    <w:basedOn w:val="866"/>
    <w:link w:val="945"/>
    <w:uiPriority w:val="99"/>
    <w:semiHidden/>
    <w:rPr>
      <w:sz w:val="20"/>
      <w:szCs w:val="20"/>
    </w:rPr>
  </w:style>
  <w:style w:type="character" w:styleId="947">
    <w:name w:val="endnote reference"/>
    <w:basedOn w:val="866"/>
    <w:uiPriority w:val="99"/>
    <w:semiHidden/>
    <w:unhideWhenUsed/>
    <w:rPr>
      <w:vertAlign w:val="superscript"/>
    </w:rPr>
  </w:style>
  <w:style w:type="character" w:styleId="948" w:customStyle="1">
    <w:name w:val="WW8Num1z0"/>
    <w:rPr>
      <w:b/>
    </w:rPr>
  </w:style>
  <w:style w:type="character" w:styleId="949" w:customStyle="1">
    <w:name w:val="ng-binding"/>
  </w:style>
  <w:style w:type="paragraph" w:styleId="950" w:customStyle="1">
    <w:name w:val="Default"/>
    <w:rPr>
      <w:rFonts w:ascii="Times New Roman" w:hAnsi="Times New Roman" w:cs="Times New Roman"/>
      <w:color w:val="000000"/>
      <w:sz w:val="24"/>
      <w:szCs w:val="24"/>
    </w:rPr>
    <w:pPr>
      <w:spacing w:lineRule="auto" w:line="240" w:after="0"/>
    </w:pPr>
  </w:style>
  <w:style w:type="character" w:styleId="951" w:customStyle="1">
    <w:name w:val="Nierozpoznana wzmianka1"/>
    <w:basedOn w:val="866"/>
    <w:uiPriority w:val="99"/>
    <w:semiHidden/>
    <w:unhideWhenUsed/>
    <w:rPr>
      <w:color w:val="605E5C"/>
      <w:shd w:val="clear" w:fill="E1DFDD" w:color="auto"/>
    </w:rPr>
  </w:style>
  <w:style w:type="paragraph" w:styleId="952" w:customStyle="1">
    <w:name w:val="Akapit z listą1"/>
    <w:basedOn w:val="856"/>
    <w:qFormat/>
    <w:rPr>
      <w:rFonts w:cs="Times New Roman"/>
      <w:lang w:eastAsia="ar-SA"/>
    </w:rPr>
    <w:pPr>
      <w:ind w:left="720"/>
    </w:pPr>
  </w:style>
  <w:style w:type="paragraph" w:styleId="953">
    <w:name w:val="Normal (Web)"/>
    <w:basedOn w:val="856"/>
    <w:uiPriority w:val="99"/>
    <w:rPr>
      <w:rFonts w:ascii="Times New Roman" w:hAnsi="Times New Roman" w:eastAsia="Times New Roman"/>
      <w:sz w:val="24"/>
      <w:szCs w:val="24"/>
      <w:lang w:eastAsia="ar-SA"/>
    </w:rPr>
    <w:pPr>
      <w:spacing w:lineRule="auto" w:line="240" w:after="280" w:before="280"/>
    </w:pPr>
  </w:style>
  <w:style w:type="character" w:styleId="954" w:customStyle="1">
    <w:name w:val="Akapit z listą Znak"/>
    <w:link w:val="920"/>
    <w:uiPriority w:val="34"/>
  </w:style>
  <w:style w:type="paragraph" w:styleId="955">
    <w:name w:val="List 2"/>
    <w:basedOn w:val="856"/>
    <w:uiPriority w:val="99"/>
    <w:unhideWhenUsed/>
    <w:rPr>
      <w:rFonts w:ascii="Times New Roman" w:hAnsi="Times New Roman" w:cs="Times New Roman" w:eastAsia="Times New Roman"/>
      <w:sz w:val="24"/>
      <w:szCs w:val="24"/>
    </w:rPr>
    <w:pPr>
      <w:contextualSpacing w:val="true"/>
      <w:ind w:left="566" w:hanging="283"/>
      <w:spacing w:lineRule="auto" w:line="240" w:after="0"/>
    </w:pPr>
  </w:style>
  <w:style w:type="paragraph" w:styleId="956">
    <w:name w:val="List"/>
    <w:basedOn w:val="856"/>
    <w:uiPriority w:val="99"/>
    <w:semiHidden/>
    <w:unhideWhenUsed/>
    <w:pPr>
      <w:contextualSpacing w:val="true"/>
      <w:ind w:left="283" w:hanging="283"/>
    </w:pPr>
  </w:style>
  <w:style w:type="paragraph" w:styleId="957">
    <w:name w:val="List Continue"/>
    <w:basedOn w:val="856"/>
    <w:uiPriority w:val="99"/>
    <w:semiHidden/>
    <w:unhideWhenUsed/>
    <w:pPr>
      <w:contextualSpacing w:val="true"/>
      <w:ind w:left="283"/>
      <w:spacing w:after="120"/>
    </w:pPr>
  </w:style>
  <w:style w:type="character" w:styleId="958" w:customStyle="1">
    <w:name w:val="Nagłówek 4 Znak"/>
    <w:basedOn w:val="866"/>
    <w:link w:val="860"/>
    <w:uiPriority w:val="9"/>
    <w:semiHidden/>
    <w:rPr>
      <w:rFonts w:ascii="Cambria" w:hAnsi="Cambria" w:cs="Cambria" w:eastAsia="Cambria"/>
      <w:b/>
      <w:bCs/>
      <w:i/>
      <w:iCs/>
      <w:color w:val="4F81BD" w:themeColor="accent1"/>
    </w:rPr>
  </w:style>
  <w:style w:type="paragraph" w:styleId="959">
    <w:name w:val="Body Text Indent"/>
    <w:basedOn w:val="856"/>
    <w:link w:val="960"/>
    <w:uiPriority w:val="99"/>
    <w:semiHidden/>
    <w:unhideWhenUsed/>
    <w:pPr>
      <w:ind w:left="283"/>
      <w:spacing w:after="120"/>
    </w:pPr>
  </w:style>
  <w:style w:type="character" w:styleId="960" w:customStyle="1">
    <w:name w:val="Tekst podstawowy wcięty Znak"/>
    <w:basedOn w:val="866"/>
    <w:link w:val="959"/>
    <w:uiPriority w:val="99"/>
    <w:semiHidden/>
  </w:style>
  <w:style w:type="paragraph" w:styleId="961">
    <w:name w:val="Body Text First Indent 2"/>
    <w:basedOn w:val="959"/>
    <w:link w:val="962"/>
    <w:uiPriority w:val="99"/>
    <w:semiHidden/>
    <w:unhideWhenUsed/>
    <w:pPr>
      <w:ind w:left="360" w:firstLine="360"/>
      <w:spacing w:after="200"/>
    </w:pPr>
  </w:style>
  <w:style w:type="character" w:styleId="962" w:customStyle="1">
    <w:name w:val="Tekst podstawowy z wcięciem 2 Znak"/>
    <w:basedOn w:val="960"/>
    <w:link w:val="961"/>
    <w:uiPriority w:val="99"/>
    <w:semiHidden/>
  </w:style>
  <w:style w:type="paragraph" w:styleId="963">
    <w:name w:val="No Spacing"/>
    <w:qFormat/>
    <w:uiPriority w:val="1"/>
    <w:rPr>
      <w:rFonts w:ascii="Times New Roman" w:hAnsi="Times New Roman" w:cs="Times New Roman" w:eastAsia="Times New Roman"/>
      <w:sz w:val="24"/>
      <w:szCs w:val="24"/>
    </w:rPr>
    <w:pPr>
      <w:spacing w:lineRule="auto" w:line="240" w:after="0"/>
    </w:pPr>
  </w:style>
  <w:style w:type="paragraph" w:styleId="964">
    <w:name w:val="List 3"/>
    <w:basedOn w:val="856"/>
    <w:rPr>
      <w:rFonts w:ascii="Arial" w:hAnsi="Arial" w:cs="Times New Roman" w:eastAsia="Times New Roman"/>
      <w:sz w:val="20"/>
      <w:szCs w:val="20"/>
    </w:rPr>
    <w:pPr>
      <w:contextualSpacing w:val="true"/>
      <w:ind w:left="849" w:hanging="283"/>
      <w:spacing w:lineRule="atLeast" w:line="320" w:after="0" w:before="200"/>
    </w:pPr>
  </w:style>
  <w:style w:type="character" w:styleId="965" w:customStyle="1">
    <w:name w:val="Nierozpoznana wzmianka2"/>
    <w:basedOn w:val="866"/>
    <w:uiPriority w:val="99"/>
    <w:semiHidden/>
    <w:unhideWhenUsed/>
    <w:rPr>
      <w:color w:val="605E5C"/>
      <w:shd w:val="clear" w:fill="E1DFDD" w:color="auto"/>
    </w:rPr>
  </w:style>
  <w:style w:type="character" w:styleId="966">
    <w:name w:val="Unresolved Mention"/>
    <w:basedOn w:val="866"/>
    <w:uiPriority w:val="99"/>
    <w:semiHidden/>
    <w:unhideWhenUsed/>
    <w:rPr>
      <w:color w:val="605E5C"/>
      <w:shd w:val="clear" w:fill="E1DFDD" w:color="auto"/>
    </w:rPr>
  </w:style>
  <w:style w:type="paragraph" w:styleId="967" w:customStyle="1">
    <w:name w:val="Tytuł1"/>
    <w:basedOn w:val="856"/>
    <w:rPr>
      <w:rFonts w:ascii="Times New Roman" w:hAnsi="Times New Roman" w:cs="Times New Roman" w:eastAsia="Times New Roman"/>
      <w:sz w:val="24"/>
      <w:szCs w:val="24"/>
    </w:rPr>
    <w:pPr>
      <w:spacing w:lineRule="auto" w:line="240" w:after="100" w:afterAutospacing="1" w:before="100" w:beforeAutospacing="1"/>
    </w:pPr>
  </w:style>
  <w:style w:type="character" w:styleId="968">
    <w:name w:val="Strong"/>
    <w:basedOn w:val="866"/>
    <w:qFormat/>
    <w:uiPriority w:val="22"/>
    <w:rPr>
      <w:b/>
      <w:bCs/>
    </w:rPr>
  </w:style>
  <w:style w:type="character" w:styleId="969" w:customStyle="1">
    <w:name w:val="Nagłówek 2 Znak"/>
    <w:basedOn w:val="866"/>
    <w:link w:val="858"/>
    <w:uiPriority w:val="9"/>
    <w:semiHidden/>
    <w:rPr>
      <w:rFonts w:ascii="Cambria" w:hAnsi="Cambria" w:cs="Cambria" w:eastAsia="Cambria"/>
      <w:color w:val="365F91" w:themeColor="accent1" w:themeShade="BF"/>
      <w:sz w:val="26"/>
      <w:szCs w:val="26"/>
    </w:rPr>
  </w:style>
  <w:style w:type="character" w:styleId="970">
    <w:name w:val="Emphasis"/>
    <w:qFormat/>
    <w:uiPriority w:val="20"/>
    <w:rPr>
      <w:rFonts w:ascii="Times New Roman" w:hAnsi="Times New Roman" w:cs="Times New Roman" w:eastAsia="Times New Roman"/>
      <w:i/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Relationship Id="rId12" Type="http://schemas.openxmlformats.org/officeDocument/2006/relationships/hyperlink" Target="http://www.cis.ustka.pl" TargetMode="External"/><Relationship Id="rId13" Type="http://schemas.openxmlformats.org/officeDocument/2006/relationships/hyperlink" Target="https://www.portalzp.pl/kody-cpv/szczegoly/uslugi-stomatologiczne-i-podobne-9013" TargetMode="External"/><Relationship Id="rId14" Type="http://schemas.openxmlformats.org/officeDocument/2006/relationships/hyperlink" Target="https://www.portalzp.pl/kody-cpv/szczegoly/rozne-uslugi-w-dziedzinie-zdrowia-9017" TargetMode="External"/><Relationship Id="rId15" Type="http://schemas.openxmlformats.org/officeDocument/2006/relationships/hyperlink" Target="https://sip.lex.pl/" TargetMode="External"/><Relationship Id="rId16" Type="http://schemas.openxmlformats.org/officeDocument/2006/relationships/hyperlink" Target="https://sip.lex.pl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Pakiet 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ONLYOFFICE/6.4.1.45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MChamierCieminska</dc:creator>
  <cp:lastModifiedBy>Piotr Piątak</cp:lastModifiedBy>
  <cp:revision>11</cp:revision>
  <dcterms:created xsi:type="dcterms:W3CDTF">2021-09-19T19:26:00Z</dcterms:created>
  <dcterms:modified xsi:type="dcterms:W3CDTF">2022-03-22T10:26:58Z</dcterms:modified>
</cp:coreProperties>
</file>