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/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pPr>
      <w:r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r>
      <w:r/>
    </w:p>
    <w:p>
      <w:pPr>
        <w:pStyle w:val="1_606"/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18"/>
        </w:rPr>
        <w:t xml:space="preserve">Załącznik nr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18"/>
        </w:rPr>
        <w:t xml:space="preserve">6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18"/>
        </w:rPr>
        <w:t xml:space="preserve">do zapytania ofertowego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  <w:highlight w:val="none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  <w:highlight w:val="none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  <w:highlight w:val="none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lineRule="auto" w:line="240" w:after="0" w:afterAutospacing="0" w:before="0" w:beforeAutospacing="0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pieczątka wykonawcy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  <w:highlight w:val="none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jc w:val="center"/>
        <w:spacing w:lineRule="auto" w:line="36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/>
          <w:bCs/>
          <w:sz w:val="24"/>
          <w:szCs w:val="24"/>
          <w:lang w:val="en-US"/>
        </w:rPr>
        <w:t xml:space="preserve">OŚWIADCZENIE WYKONAWCY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ustawy z dnia </w:t>
        <w:br/>
        <w:t xml:space="preserve">13 kwietnia 2022 r. o szczególnych rozwiązaniach w zakresie przeciwdziałania wspieraniu agresji na Ukrainę oraz służących ochronie bezpieczeństwa narodowego (Dz. U. poz. 835) - przesłanki wykluczenia wymieniono poniżej.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highlight w:val="none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„Art.  7.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  <w:color w:val="000000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1. 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Z postępowania o udzielenie zamówienia publicznego lub konkursu prowadzonego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 podstawie </w:t>
      </w:r>
      <w:hyperlink r:id="rId11" w:tooltip="https://sip.lex.pl/#/document/18903829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i w:val="false"/>
            <w:color w:val="0066CC"/>
            <w:sz w:val="24"/>
            <w:u w:val="single"/>
          </w:rPr>
          <w:t xml:space="preserve">ustawy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i w:val="false"/>
          <w:color w:val="000000"/>
          <w:sz w:val="24"/>
        </w:rPr>
        <w:t xml:space="preserve"> z dnia 11 września 2019 r. - Prawo zamówień publicznych wyklucza się: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highlight w:val="none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1)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wykonawcę oraz uczestnika konkursu wymienionego w wykazach określonych w </w:t>
      </w:r>
      <w:hyperlink r:id="rId12" w:tooltip="https://sip.lex.pl/#/document/67607987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765/2006 i </w:t>
      </w:r>
      <w:hyperlink r:id="rId13" w:tooltip="https://sip.lex.pl/#/document/68410867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269/2014 albo wpisanego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decyzji w sprawie wpisu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rozstrzygającej o zastosowaniu środka, o którym mowa w art. 1 pkt 3;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2)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wykonawcę oraz uczestnika konkursu, którego beneficjentem rzeczywistym w rozumieniu </w:t>
      </w:r>
      <w:hyperlink r:id="rId14" w:tooltip="https://sip.lex.pl/#/document/18708093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ustawy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z dnia 1 marca 2018 r. 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przeciwdziałaniu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praniu pieniędzy oraz finansowaniu terroryzmu (Dz. U. z 2022 r. poz. 593 i 655) jest osoba wymieniona w wykazach określonych w </w:t>
      </w:r>
      <w:hyperlink r:id="rId15" w:tooltip="https://sip.lex.pl/#/document/67607987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765/2006 i </w:t>
      </w:r>
      <w:hyperlink r:id="rId16" w:tooltip="https://sip.lex.pl/#/document/68410867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269/2014 albo wpisana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lub będąca takim beneficjentem rzeczywistym od dnia 24 lutego 2022 r., o ile została wpisana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decyzji w sprawie wpisu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rozstrzygającej o zastosowaniu środka, o którym mowa w art. 1 pkt 3;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3)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wykonawcę oraz uczestnika konkursu, którego jednostką dominującą w rozumieniu </w:t>
      </w:r>
      <w:hyperlink r:id="rId17" w:tooltip="https://sip.lex.pl/#/document/16796295?unitId=art(3)ust(1)pkt(37)&amp;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art. 3 ust. 1 pkt 37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ustawy z dnia 29 września 1994 r. o rachunkowości (Dz. U. z 2021 r. poz. 217, 2105 i 2106) jest podmiot wymieniony w wykazach określonych w </w:t>
      </w:r>
      <w:hyperlink r:id="rId18" w:tooltip="https://sip.lex.pl/#/document/67607987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765/2006 i </w:t>
      </w:r>
      <w:hyperlink r:id="rId19" w:tooltip="https://sip.lex.pl/#/document/68410867?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rozporządzeniu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269/2014 albo wpisany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lub będący taką jednostką dominującą od dnia 24 lutego 2022 r., o ile został wpisany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decyzji w sprawie wpisu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listę rozstrzygającej o zastosowaniu środka, o którym mowa w art. 1 pkt 3.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2. 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Wykluczenie następuje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okres trwania okoliczności określonych w ust. 1.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3. 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 przypadku wykonawcy lub uczestnika konkursu wykluczonego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ust. 1, zamawiający odrzuca wniosek o dopuszczenie do udziału w postępowaniu o udzielnie zamówienia publicznego lub ofertę takiego wykonawcy lub uczestnika konkursu, nie zaprasza go do złożenia oferty wstępnej, oferty podlegającej negocjacjom, o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ferty dodatkowej, oferty lub oferty ostatecznej, nie zaprasza go do negocjacji lub dialogu, a także nie prowadzi z takim wykonawcą negocjacji lub dialogu, odrzuca wniosek o dopuszczenie do udziału w konkursie, nie zaprasza do złożenia pracy konkursowej lub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nie przeprowadza oceny pracy konkursowej, odpowiednio do trybu stosowanego do udzielenia zamówienia publicznego oraz etapu prowadzonego postępowania o udzielenie zamówienia publicznego.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4. 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Kontrola udzielania zamówień publicznych w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zakresie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zgodności z ust. 1 jest wykonywana zgodnie z </w:t>
      </w:r>
      <w:hyperlink r:id="rId20" w:tooltip="https://sip.lex.pl/#/document/18903829?unitId=art(596)&amp;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art. 596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ustawy z dnia 11 września 2019 r. - Prawo zamówień publicznych.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5. 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Przez ubieganie się o udzielenie zamówienia publicznego lub dopuszczenie do udziału w konkursie rozumie się odpowiednio złożenie wniosku o dopuszczenie do udziału w postępowaniu o udzielenie zamówienia publicznego lub konkursie, złożenie oferty, przystąpie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nie do negocjacji lub złożenie pracy konkursowej.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6. 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Osoba lub podmiot podlegające wykluczeniu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i/>
          <w:color w:val="000000"/>
          <w:sz w:val="24"/>
        </w:rPr>
        <w:t xml:space="preserve">na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podstawie ust. 1, które w okresie tego wykluczenia ubiegają się o udzielenie zamówienia publicznego lub dopuszczenie do udziału w konkursie lub biorą udział w postępowaniu o udzielenie zamówienia publicznego lub w konkursie, podlegają karze pieniężnej.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7. 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Karę pieniężną, o której mowa w ust. 6, nakłada Prezes Urzędu Zamówień Publicznych, w drodze decyzji, w wysokości do 20 000 000 zł.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8. 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Wpływy z kar pieniężnych, o których mowa w ust. 6, stanowią dochód budżetu państwa.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0" w:right="0" w:firstLine="0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9. 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Przepisy ust. 1-8 stosuje się do postępowania zmierzającego do udzielenia zamówienia publicznego oraz konkursów o wartości mniejszej niż kwoty określone w </w:t>
      </w:r>
      <w:hyperlink r:id="rId21" w:tooltip="https://sip.lex.pl/#/document/18903829?unitId=art(2)ust(1)&amp;cm=DOCUMENT" w:history="1">
        <w:r>
          <w:rPr>
            <w:rStyle w:val="172"/>
            <w:rFonts w:ascii="Times New Roman" w:hAnsi="Times New Roman" w:cs="Times New Roman" w:eastAsia="Times New Roman" w:asciiTheme="minorHAnsi" w:hAnsiTheme="minorHAnsi" w:eastAsiaTheme="minorHAnsi" w:cstheme="minorHAnsi"/>
            <w:color w:val="0066CC"/>
            <w:sz w:val="24"/>
            <w:u w:val="single"/>
          </w:rPr>
          <w:t xml:space="preserve">art. 2 ust. 1</w:t>
        </w:r>
      </w:hyperlink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</w:rPr>
        <w:t xml:space="preserve"> ustawy z dnia 11 września 2019 r. - Prawo zamówień publicznych lub z wyłączeniem stosowania tej ustawy.”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jc w:val="both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  <w:sz w:val="24"/>
          <w:highlight w:val="none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7"/>
        <w:ind w:left="0" w:firstLine="0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Oświadczam, że nie jestem osobą lub podmiotem o którym mowa w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 art. 5k rozporządzenia 833/2014 dotyczącego środków ograniczających w związku z działaniami Rosji destabilizującymi sytuację na Ukrainie (Dz. Urz. UE nr L 111 z 8.4.2022, str. 1), w brzmieniu nadanym rozporządzeniem 2022/576,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 tj nie należę do.: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7"/>
        <w:numPr>
          <w:ilvl w:val="1"/>
          <w:numId w:val="1"/>
        </w:numPr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obywateli rosyjskich lub osób fizycznych lub prawnych, podmiotów lub organów z siedzibą w Rosji;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7"/>
        <w:numPr>
          <w:ilvl w:val="1"/>
          <w:numId w:val="1"/>
        </w:numPr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osób prawnych, podmiotów lub organów, do których prawa własności bezpośrednio lub pośrednio w ponad 50 % należą do podmiotu, o którym mowa w lit a; lub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7"/>
        <w:numPr>
          <w:ilvl w:val="1"/>
          <w:numId w:val="1"/>
        </w:numPr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osób fizycznych lub prawnych, podmiotów lub organów działających w imieniu lub pod kierunkiem podmiotu, o którym mowa w lit a lub b,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7"/>
        <w:ind w:left="142" w:right="0" w:hanging="142"/>
        <w:jc w:val="both"/>
        <w:spacing w:after="0" w:afterAutospacing="0" w:before="0" w:beforeAutospacing="0"/>
        <w:tabs>
          <w:tab w:val="left" w:pos="284" w:leader="none"/>
          <w:tab w:val="left" w:pos="567" w:leader="none"/>
          <w:tab w:val="left" w:pos="992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 w:themeColor="text1"/>
          <w:sz w:val="24"/>
        </w:rPr>
        <w:t xml:space="preserve">w tym podwykonawców, dostawców lub podmiotów, na których zdolności polega się w rozumieniu dyrektyw w sprawie zamówień publicznych, w przypadku gdy przypada na nich ponad 10% wartości zamówienia.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color w:val="000000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bCs/>
          <w:sz w:val="24"/>
          <w:szCs w:val="24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__________________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miejscowość, data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ind w:firstLine="696"/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podp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is i pieczątka upoważnionego/  upoważnionych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pStyle w:val="1_606"/>
        <w:ind w:firstLine="696"/>
        <w:jc w:val="right"/>
        <w:spacing w:lineRule="auto" w:line="240" w:after="0" w:afterAutospacing="0" w:before="0" w:beforeAutospacing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 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  <w:sz w:val="24"/>
          <w:szCs w:val="18"/>
        </w:rPr>
        <w:t xml:space="preserve">przedstawiciela / przedstawicieli wykonawcy</w:t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ind w:left="4956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="Times New Roman" w:hAnsi="Times New Roman" w:cs="Times New Roman" w:eastAsia="Times New Roman" w:asciiTheme="minorHAnsi" w:hAnsiTheme="minorHAnsi" w:eastAsiaTheme="minorHAnsi" w:cstheme="minorHAnsi"/>
        </w:rPr>
      </w:r>
      <w:r>
        <w:rPr>
          <w:rFonts w:asciiTheme="minorHAnsi" w:hAnsiTheme="minorHAnsi" w:eastAsiaTheme="minorHAnsi" w:cstheme="minorHAnsi"/>
        </w:rPr>
      </w:r>
    </w:p>
    <w:p>
      <w:pPr>
        <w:spacing w:lineRule="auto" w:line="360"/>
        <w:rPr>
          <w:sz w:val="22"/>
          <w:szCs w:val="22"/>
        </w:rPr>
      </w:pPr>
      <w:r>
        <w:rPr>
          <w:rFonts w:asciiTheme="minorHAnsi" w:hAnsiTheme="minorHAnsi" w:eastAsiaTheme="minorHAnsi" w:cstheme="minorHAnsi"/>
          <w:sz w:val="22"/>
          <w:szCs w:val="22"/>
        </w:rPr>
      </w:r>
      <w:r>
        <w:rPr>
          <w:rFonts w:asciiTheme="minorHAnsi" w:hAnsiTheme="minorHAnsi" w:eastAsiaTheme="minorHAnsi" w:cstheme="minorHAnsi"/>
        </w:rPr>
      </w:r>
    </w:p>
    <w:sectPr>
      <w:head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20603020101020101"/>
  </w:font>
  <w:font w:name="Mangal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</w:pPr>
    <w:r>
      <w:rPr>
        <w:lang w:bidi="ar-SA"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830580"/>
              <wp:effectExtent l="0" t="0" r="0" b="7620"/>
              <wp:docPr id="1" name="Obraz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5"/>
    <w:next w:val="65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5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5"/>
    <w:next w:val="65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5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5"/>
    <w:next w:val="65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5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5"/>
    <w:next w:val="65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5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5"/>
    <w:next w:val="65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5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5"/>
    <w:next w:val="65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5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5"/>
    <w:next w:val="65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5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5"/>
    <w:next w:val="65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5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5"/>
    <w:next w:val="65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5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55"/>
    <w:next w:val="65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56"/>
    <w:link w:val="32"/>
    <w:uiPriority w:val="10"/>
    <w:rPr>
      <w:sz w:val="48"/>
      <w:szCs w:val="48"/>
    </w:rPr>
  </w:style>
  <w:style w:type="paragraph" w:styleId="34">
    <w:name w:val="Subtitle"/>
    <w:basedOn w:val="655"/>
    <w:next w:val="65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56"/>
    <w:link w:val="34"/>
    <w:uiPriority w:val="11"/>
    <w:rPr>
      <w:sz w:val="24"/>
      <w:szCs w:val="24"/>
    </w:rPr>
  </w:style>
  <w:style w:type="paragraph" w:styleId="36">
    <w:name w:val="Quote"/>
    <w:basedOn w:val="655"/>
    <w:next w:val="65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5"/>
    <w:next w:val="655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6"/>
    <w:link w:val="659"/>
    <w:uiPriority w:val="99"/>
  </w:style>
  <w:style w:type="character" w:styleId="43">
    <w:name w:val="Footer Char"/>
    <w:basedOn w:val="656"/>
    <w:link w:val="661"/>
    <w:uiPriority w:val="99"/>
  </w:style>
  <w:style w:type="paragraph" w:styleId="44">
    <w:name w:val="Caption"/>
    <w:basedOn w:val="655"/>
    <w:next w:val="65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1"/>
    <w:uiPriority w:val="99"/>
  </w:style>
  <w:style w:type="table" w:styleId="46">
    <w:name w:val="Table Grid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6"/>
    <w:uiPriority w:val="99"/>
    <w:unhideWhenUsed/>
    <w:rPr>
      <w:vertAlign w:val="superscript"/>
    </w:rPr>
  </w:style>
  <w:style w:type="paragraph" w:styleId="176">
    <w:name w:val="endnote text"/>
    <w:basedOn w:val="65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6"/>
    <w:uiPriority w:val="99"/>
    <w:semiHidden/>
    <w:unhideWhenUsed/>
    <w:rPr>
      <w:vertAlign w:val="superscript"/>
    </w:rPr>
  </w:style>
  <w:style w:type="paragraph" w:styleId="179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rPr>
      <w:rFonts w:ascii="Times New Roman" w:hAnsi="Times New Roman" w:cs="Mangal" w:eastAsia="SimSun"/>
      <w:sz w:val="24"/>
      <w:szCs w:val="24"/>
      <w:lang w:bidi="hi-IN" w:eastAsia="zh-CN"/>
    </w:rPr>
    <w:pPr>
      <w:spacing w:lineRule="auto" w:line="240" w:after="0"/>
      <w:widowControl w:val="off"/>
    </w:p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5"/>
    <w:link w:val="660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660" w:customStyle="1">
    <w:name w:val="Nagłówek Znak"/>
    <w:basedOn w:val="656"/>
    <w:link w:val="659"/>
    <w:uiPriority w:val="99"/>
    <w:rPr>
      <w:rFonts w:ascii="Times New Roman" w:hAnsi="Times New Roman" w:cs="Mangal" w:eastAsia="SimSun"/>
      <w:sz w:val="24"/>
      <w:szCs w:val="21"/>
      <w:lang w:bidi="hi-IN" w:eastAsia="zh-CN"/>
    </w:rPr>
  </w:style>
  <w:style w:type="paragraph" w:styleId="661">
    <w:name w:val="Footer"/>
    <w:basedOn w:val="655"/>
    <w:link w:val="662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662" w:customStyle="1">
    <w:name w:val="Stopka Znak"/>
    <w:basedOn w:val="656"/>
    <w:link w:val="661"/>
    <w:uiPriority w:val="99"/>
    <w:rPr>
      <w:rFonts w:ascii="Times New Roman" w:hAnsi="Times New Roman" w:cs="Mangal" w:eastAsia="SimSun"/>
      <w:sz w:val="24"/>
      <w:szCs w:val="21"/>
      <w:lang w:bidi="hi-IN" w:eastAsia="zh-CN"/>
    </w:rPr>
  </w:style>
  <w:style w:type="paragraph" w:styleId="1_606">
    <w:name w:val="Normalny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2"/>
      <w:highlight w:val="none"/>
      <w:u w:val="none"/>
      <w:vertAlign w:val="baseline"/>
      <w:rtl w:val="false"/>
      <w:cs w:val="false"/>
      <w:lang w:val="pl-PL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1_607">
    <w:name w:val="Akapit z listą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2"/>
      <w:highlight w:val="none"/>
      <w:u w:val="none"/>
      <w:vertAlign w:val="baseline"/>
      <w:rtl w:val="false"/>
      <w:cs w:val="false"/>
      <w:lang w:val="pl-PL" w:bidi="ar-SA" w:eastAsia="zh-CN"/>
    </w:rPr>
    <w:pPr>
      <w:contextualSpacing w:val="true"/>
      <w:ind w:left="72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sip.lex.pl/#/document/18903829?cm=DOCUMENT" TargetMode="External"/><Relationship Id="rId12" Type="http://schemas.openxmlformats.org/officeDocument/2006/relationships/hyperlink" Target="https://sip.lex.pl/#/document/67607987?cm=DOCUMENT" TargetMode="External"/><Relationship Id="rId13" Type="http://schemas.openxmlformats.org/officeDocument/2006/relationships/hyperlink" Target="https://sip.lex.pl/#/document/68410867?cm=DOCUMENT" TargetMode="External"/><Relationship Id="rId14" Type="http://schemas.openxmlformats.org/officeDocument/2006/relationships/hyperlink" Target="https://sip.lex.pl/#/document/18708093?cm=DOCUMENT" TargetMode="External"/><Relationship Id="rId15" Type="http://schemas.openxmlformats.org/officeDocument/2006/relationships/hyperlink" Target="https://sip.lex.pl/#/document/67607987?cm=DOCUMENT" TargetMode="External"/><Relationship Id="rId16" Type="http://schemas.openxmlformats.org/officeDocument/2006/relationships/hyperlink" Target="https://sip.lex.pl/#/document/68410867?cm=DOCUMENT" TargetMode="External"/><Relationship Id="rId17" Type="http://schemas.openxmlformats.org/officeDocument/2006/relationships/hyperlink" Target="https://sip.lex.pl/#/document/16796295?unitId=art(3)ust(1)pkt(37)&amp;cm=DOCUMENT" TargetMode="External"/><Relationship Id="rId18" Type="http://schemas.openxmlformats.org/officeDocument/2006/relationships/hyperlink" Target="https://sip.lex.pl/#/document/67607987?cm=DOCUMENT" TargetMode="External"/><Relationship Id="rId19" Type="http://schemas.openxmlformats.org/officeDocument/2006/relationships/hyperlink" Target="https://sip.lex.pl/#/document/68410867?cm=DOCUMENT" TargetMode="External"/><Relationship Id="rId20" Type="http://schemas.openxmlformats.org/officeDocument/2006/relationships/hyperlink" Target="https://sip.lex.pl/#/document/18903829?unitId=art(596)&amp;cm=DOCUMENT" TargetMode="External"/><Relationship Id="rId21" Type="http://schemas.openxmlformats.org/officeDocument/2006/relationships/hyperlink" Target="https://sip.lex.pl/#/document/18903829?unitId=art(2)ust(1)&amp;cm=DOCUMEN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Piotr Piątak</cp:lastModifiedBy>
  <cp:revision>3</cp:revision>
  <dcterms:created xsi:type="dcterms:W3CDTF">2023-04-03T18:35:00Z</dcterms:created>
  <dcterms:modified xsi:type="dcterms:W3CDTF">2023-04-10T21:09:17Z</dcterms:modified>
</cp:coreProperties>
</file>