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80AC" w14:textId="77777777" w:rsidR="001D4C16" w:rsidRDefault="00000000">
      <w:pPr>
        <w:jc w:val="right"/>
      </w:pPr>
      <w:r>
        <w:rPr>
          <w:rFonts w:asciiTheme="minorHAnsi" w:eastAsiaTheme="minorHAnsi" w:hAnsiTheme="minorHAnsi" w:cstheme="minorHAnsi"/>
          <w:b/>
          <w:bCs/>
          <w:sz w:val="18"/>
          <w:szCs w:val="18"/>
        </w:rPr>
        <w:t>Załącznik nr 6 do zapytania ofertowego</w:t>
      </w:r>
    </w:p>
    <w:p w14:paraId="2ADE474A" w14:textId="77777777" w:rsidR="001D4C16" w:rsidRDefault="00000000">
      <w:r>
        <w:rPr>
          <w:rFonts w:asciiTheme="minorHAnsi" w:eastAsiaTheme="minorHAnsi" w:hAnsiTheme="minorHAnsi" w:cstheme="minorHAnsi"/>
          <w:sz w:val="18"/>
          <w:szCs w:val="18"/>
        </w:rPr>
        <w:t>pieczątka wykonawcy</w:t>
      </w:r>
    </w:p>
    <w:p w14:paraId="2C619EA7" w14:textId="77777777" w:rsidR="001D4C16" w:rsidRDefault="001D4C16"/>
    <w:p w14:paraId="38102C0F" w14:textId="77777777" w:rsidR="001D4C16" w:rsidRPr="00A86EED" w:rsidRDefault="00000000">
      <w:pPr>
        <w:spacing w:line="360" w:lineRule="auto"/>
        <w:jc w:val="center"/>
        <w:rPr>
          <w:rFonts w:ascii="Times New Roman" w:hAnsi="Times New Roman" w:cs="Times New Roman"/>
        </w:rPr>
      </w:pPr>
      <w:r w:rsidRPr="00A86EED">
        <w:rPr>
          <w:rFonts w:ascii="Times New Roman" w:eastAsiaTheme="minorHAnsi" w:hAnsi="Times New Roman" w:cs="Times New Roman"/>
          <w:b/>
          <w:bCs/>
        </w:rPr>
        <w:t>OŚWIADCZENIE WYKONAWCY</w:t>
      </w:r>
    </w:p>
    <w:p w14:paraId="5F77088D" w14:textId="77777777" w:rsidR="001D4C16" w:rsidRPr="00A86EED" w:rsidRDefault="00000000">
      <w:pPr>
        <w:jc w:val="both"/>
        <w:rPr>
          <w:rFonts w:ascii="Times New Roman" w:hAnsi="Times New Roman" w:cs="Times New Roman"/>
          <w:color w:val="000000"/>
        </w:rPr>
      </w:pPr>
      <w:r w:rsidRPr="00A86EED">
        <w:rPr>
          <w:rFonts w:ascii="Times New Roman" w:eastAsiaTheme="minorHAnsi" w:hAnsi="Times New Roman" w:cs="Times New Roman"/>
        </w:rPr>
        <w:t xml:space="preserve">Oświadczam, że nie podlegam wykluczeniu z postępowania na podstawie </w:t>
      </w:r>
      <w:r w:rsidRPr="00A86EED">
        <w:rPr>
          <w:rFonts w:ascii="Times New Roman" w:eastAsiaTheme="minorHAnsi" w:hAnsi="Times New Roman" w:cs="Times New Roman"/>
          <w:color w:val="000000"/>
        </w:rPr>
        <w:t xml:space="preserve">ustawy z dnia </w:t>
      </w:r>
      <w:r w:rsidRPr="00A86EED">
        <w:rPr>
          <w:rFonts w:ascii="Times New Roman" w:eastAsiaTheme="minorHAnsi" w:hAnsi="Times New Roman" w:cs="Times New Roman"/>
          <w:color w:val="000000"/>
        </w:rPr>
        <w:br/>
        <w:t>13 kwietnia 2022 r. o szczególnych rozwiązaniach w zakresie przeciwdziałania wspieraniu agresji na Ukrainę oraz służących ochronie bezpieczeństwa narodowego (Dz. U. poz. 835) - przesłanki wykluczenia wymieniono poniżej.</w:t>
      </w:r>
    </w:p>
    <w:p w14:paraId="748FDF8A" w14:textId="77777777" w:rsidR="001D4C16" w:rsidRPr="00A86EED" w:rsidRDefault="00000000">
      <w:pPr>
        <w:jc w:val="both"/>
        <w:rPr>
          <w:rFonts w:ascii="Times New Roman" w:hAnsi="Times New Roman" w:cs="Times New Roman"/>
          <w:color w:val="000000"/>
        </w:rPr>
      </w:pPr>
      <w:r w:rsidRPr="00A86EED">
        <w:rPr>
          <w:rFonts w:ascii="Times New Roman" w:eastAsiaTheme="minorHAnsi" w:hAnsi="Times New Roman" w:cs="Times New Roman"/>
          <w:color w:val="000000"/>
        </w:rPr>
        <w:t>„Art.  7. </w:t>
      </w:r>
    </w:p>
    <w:p w14:paraId="4E7F9490" w14:textId="77777777" w:rsidR="001D4C16" w:rsidRPr="00A86EED" w:rsidRDefault="00000000">
      <w:pPr>
        <w:jc w:val="both"/>
        <w:rPr>
          <w:rFonts w:ascii="Times New Roman" w:hAnsi="Times New Roman" w:cs="Times New Roman"/>
          <w:color w:val="000000"/>
        </w:rPr>
      </w:pPr>
      <w:r w:rsidRPr="00A86EED">
        <w:rPr>
          <w:rFonts w:ascii="Times New Roman" w:eastAsiaTheme="minorHAnsi" w:hAnsi="Times New Roman" w:cs="Times New Roman"/>
          <w:color w:val="000000"/>
        </w:rPr>
        <w:t xml:space="preserve">1. Z postępowania o udzielenie zamówienia publicznego lub konkursu prowadzonego na podstawie </w:t>
      </w:r>
      <w:hyperlink r:id="rId8" w:anchor="/document/18903829?cm=DOCUMENT" w:tooltip="https://sip.lex.pl/#/document/18903829?cm=DOCUMENT" w:history="1">
        <w:r w:rsidRPr="00A86EED">
          <w:rPr>
            <w:rStyle w:val="Hipercze"/>
            <w:rFonts w:ascii="Times New Roman" w:eastAsiaTheme="minorHAnsi" w:hAnsi="Times New Roman" w:cs="Times New Roman"/>
            <w:color w:val="0066CC"/>
          </w:rPr>
          <w:t>ustawy</w:t>
        </w:r>
      </w:hyperlink>
      <w:r w:rsidRPr="00A86EED">
        <w:rPr>
          <w:rFonts w:ascii="Times New Roman" w:eastAsiaTheme="minorHAnsi" w:hAnsi="Times New Roman" w:cs="Times New Roman"/>
          <w:color w:val="000000"/>
        </w:rPr>
        <w:t xml:space="preserve"> z dnia 11 września 2019 r. - Prawo zamówień publicznych wyklucza się:</w:t>
      </w:r>
    </w:p>
    <w:p w14:paraId="0F7333A7"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 xml:space="preserve">1) wykonawcę oraz uczestnika konkursu wymienionego w wykazach określonych w </w:t>
      </w:r>
      <w:hyperlink r:id="rId9" w:anchor="/document/67607987?cm=DOCUMENT" w:tooltip="https://sip.lex.pl/#/document/67607987?cm=DOCUMENT" w:history="1">
        <w:r w:rsidRPr="00A86EED">
          <w:rPr>
            <w:rStyle w:val="Hipercze"/>
            <w:rFonts w:ascii="Times New Roman" w:eastAsiaTheme="minorHAnsi" w:hAnsi="Times New Roman" w:cs="Times New Roman"/>
            <w:color w:val="0066CC"/>
          </w:rPr>
          <w:t>rozporządzeniu</w:t>
        </w:r>
      </w:hyperlink>
      <w:r w:rsidRPr="00A86EED">
        <w:rPr>
          <w:rFonts w:ascii="Times New Roman" w:eastAsiaTheme="minorHAnsi" w:hAnsi="Times New Roman" w:cs="Times New Roman"/>
          <w:color w:val="000000"/>
        </w:rPr>
        <w:t xml:space="preserve"> 765/2006 i </w:t>
      </w:r>
      <w:hyperlink r:id="rId10" w:anchor="/document/68410867?cm=DOCUMENT" w:tooltip="https://sip.lex.pl/#/document/68410867?cm=DOCUMENT" w:history="1">
        <w:r w:rsidRPr="00A86EED">
          <w:rPr>
            <w:rStyle w:val="Hipercze"/>
            <w:rFonts w:ascii="Times New Roman" w:eastAsiaTheme="minorHAnsi" w:hAnsi="Times New Roman" w:cs="Times New Roman"/>
            <w:color w:val="0066CC"/>
          </w:rPr>
          <w:t>rozporządzeniu</w:t>
        </w:r>
      </w:hyperlink>
      <w:r w:rsidRPr="00A86EED">
        <w:rPr>
          <w:rFonts w:ascii="Times New Roman" w:eastAsiaTheme="minorHAnsi" w:hAnsi="Times New Roman" w:cs="Times New Roman"/>
          <w:color w:val="000000"/>
        </w:rPr>
        <w:t xml:space="preserve"> 269/2014 albo wpisanego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listę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podstawie decyzji w sprawie wpisu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listę rozstrzygającej o zastosowaniu środka, o którym mowa w art. 1 pkt 3;</w:t>
      </w:r>
    </w:p>
    <w:p w14:paraId="51915141"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 xml:space="preserve">2) wykonawcę oraz uczestnika konkursu, którego beneficjentem rzeczywistym w rozumieniu </w:t>
      </w:r>
      <w:hyperlink r:id="rId11" w:anchor="/document/18708093?cm=DOCUMENT" w:tooltip="https://sip.lex.pl/#/document/18708093?cm=DOCUMENT" w:history="1">
        <w:r w:rsidRPr="00A86EED">
          <w:rPr>
            <w:rStyle w:val="Hipercze"/>
            <w:rFonts w:ascii="Times New Roman" w:eastAsiaTheme="minorHAnsi" w:hAnsi="Times New Roman" w:cs="Times New Roman"/>
            <w:color w:val="0066CC"/>
          </w:rPr>
          <w:t>ustawy</w:t>
        </w:r>
      </w:hyperlink>
      <w:r w:rsidRPr="00A86EED">
        <w:rPr>
          <w:rFonts w:ascii="Times New Roman" w:eastAsiaTheme="minorHAnsi" w:hAnsi="Times New Roman" w:cs="Times New Roman"/>
          <w:color w:val="000000"/>
        </w:rPr>
        <w:t xml:space="preserve"> z dnia 1 marca 2018 r. o </w:t>
      </w:r>
      <w:r w:rsidRPr="00A86EED">
        <w:rPr>
          <w:rFonts w:ascii="Times New Roman" w:eastAsiaTheme="minorHAnsi" w:hAnsi="Times New Roman" w:cs="Times New Roman"/>
          <w:i/>
          <w:color w:val="000000"/>
        </w:rPr>
        <w:t>przeciwdziałaniu</w:t>
      </w:r>
      <w:r w:rsidRPr="00A86EED">
        <w:rPr>
          <w:rFonts w:ascii="Times New Roman" w:eastAsiaTheme="minorHAnsi" w:hAnsi="Times New Roman" w:cs="Times New Roman"/>
          <w:color w:val="000000"/>
        </w:rPr>
        <w:t xml:space="preserve"> praniu pieniędzy oraz finansowaniu terroryzmu (Dz. U. z 2022 r. poz. 593 i 655) jest osoba wymieniona w wykazach określonych w </w:t>
      </w:r>
      <w:hyperlink r:id="rId12" w:anchor="/document/67607987?cm=DOCUMENT" w:tooltip="https://sip.lex.pl/#/document/67607987?cm=DOCUMENT" w:history="1">
        <w:r w:rsidRPr="00A86EED">
          <w:rPr>
            <w:rStyle w:val="Hipercze"/>
            <w:rFonts w:ascii="Times New Roman" w:eastAsiaTheme="minorHAnsi" w:hAnsi="Times New Roman" w:cs="Times New Roman"/>
            <w:color w:val="0066CC"/>
          </w:rPr>
          <w:t>rozporządzeniu</w:t>
        </w:r>
      </w:hyperlink>
      <w:r w:rsidRPr="00A86EED">
        <w:rPr>
          <w:rFonts w:ascii="Times New Roman" w:eastAsiaTheme="minorHAnsi" w:hAnsi="Times New Roman" w:cs="Times New Roman"/>
          <w:color w:val="000000"/>
        </w:rPr>
        <w:t xml:space="preserve"> 765/2006 i </w:t>
      </w:r>
      <w:hyperlink r:id="rId13" w:anchor="/document/68410867?cm=DOCUMENT" w:tooltip="https://sip.lex.pl/#/document/68410867?cm=DOCUMENT" w:history="1">
        <w:r w:rsidRPr="00A86EED">
          <w:rPr>
            <w:rStyle w:val="Hipercze"/>
            <w:rFonts w:ascii="Times New Roman" w:eastAsiaTheme="minorHAnsi" w:hAnsi="Times New Roman" w:cs="Times New Roman"/>
            <w:color w:val="0066CC"/>
          </w:rPr>
          <w:t>rozporządzeniu</w:t>
        </w:r>
      </w:hyperlink>
      <w:r w:rsidRPr="00A86EED">
        <w:rPr>
          <w:rFonts w:ascii="Times New Roman" w:eastAsiaTheme="minorHAnsi" w:hAnsi="Times New Roman" w:cs="Times New Roman"/>
          <w:color w:val="000000"/>
        </w:rPr>
        <w:t xml:space="preserve"> 269/2014 albo wpisana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listę lub będąca takim beneficjentem rzeczywistym od dnia 24 lutego 2022 r., o ile została wpisana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listę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podstawie decyzji w sprawie wpisu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listę rozstrzygającej o zastosowaniu środka, o którym mowa w art. 1 pkt 3;</w:t>
      </w:r>
    </w:p>
    <w:p w14:paraId="4EE6FE4F"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 xml:space="preserve">3) wykonawcę oraz uczestnika konkursu, którego jednostką dominującą w rozumieniu </w:t>
      </w:r>
      <w:hyperlink r:id="rId14" w:anchor="/document/16796295?unitId=art(3)ust(1)pkt(37)&amp;cm=DOCUMENT" w:tooltip="https://sip.lex.pl/#/document/16796295?unitId=art(3)ust(1)pkt(37)&amp;cm=DOCUMENT" w:history="1">
        <w:r w:rsidRPr="00A86EED">
          <w:rPr>
            <w:rStyle w:val="Hipercze"/>
            <w:rFonts w:ascii="Times New Roman" w:eastAsiaTheme="minorHAnsi" w:hAnsi="Times New Roman" w:cs="Times New Roman"/>
            <w:color w:val="0066CC"/>
          </w:rPr>
          <w:t>art. 3 ust. 1 pkt 37</w:t>
        </w:r>
      </w:hyperlink>
      <w:r w:rsidRPr="00A86EED">
        <w:rPr>
          <w:rFonts w:ascii="Times New Roman" w:eastAsiaTheme="minorHAnsi" w:hAnsi="Times New Roman" w:cs="Times New Roman"/>
          <w:color w:val="000000"/>
        </w:rPr>
        <w:t xml:space="preserve"> ustawy z dnia 29 września 1994 r. o rachunkowości (Dz. U. z 2021 r. poz. 217, 2105 i 2106) jest podmiot wymieniony w wykazach określonych w </w:t>
      </w:r>
      <w:hyperlink r:id="rId15" w:anchor="/document/67607987?cm=DOCUMENT" w:tooltip="https://sip.lex.pl/#/document/67607987?cm=DOCUMENT" w:history="1">
        <w:r w:rsidRPr="00A86EED">
          <w:rPr>
            <w:rStyle w:val="Hipercze"/>
            <w:rFonts w:ascii="Times New Roman" w:eastAsiaTheme="minorHAnsi" w:hAnsi="Times New Roman" w:cs="Times New Roman"/>
            <w:color w:val="0066CC"/>
          </w:rPr>
          <w:t>rozporządzeniu</w:t>
        </w:r>
      </w:hyperlink>
      <w:r w:rsidRPr="00A86EED">
        <w:rPr>
          <w:rFonts w:ascii="Times New Roman" w:eastAsiaTheme="minorHAnsi" w:hAnsi="Times New Roman" w:cs="Times New Roman"/>
          <w:color w:val="000000"/>
        </w:rPr>
        <w:t xml:space="preserve"> 765/2006 i </w:t>
      </w:r>
      <w:hyperlink r:id="rId16" w:anchor="/document/68410867?cm=DOCUMENT" w:tooltip="https://sip.lex.pl/#/document/68410867?cm=DOCUMENT" w:history="1">
        <w:r w:rsidRPr="00A86EED">
          <w:rPr>
            <w:rStyle w:val="Hipercze"/>
            <w:rFonts w:ascii="Times New Roman" w:eastAsiaTheme="minorHAnsi" w:hAnsi="Times New Roman" w:cs="Times New Roman"/>
            <w:color w:val="0066CC"/>
          </w:rPr>
          <w:t>rozporządzeniu</w:t>
        </w:r>
      </w:hyperlink>
      <w:r w:rsidRPr="00A86EED">
        <w:rPr>
          <w:rFonts w:ascii="Times New Roman" w:eastAsiaTheme="minorHAnsi" w:hAnsi="Times New Roman" w:cs="Times New Roman"/>
          <w:color w:val="000000"/>
        </w:rPr>
        <w:t xml:space="preserve"> 269/2014 albo wpisany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listę lub będący taką jednostką dominującą od dnia 24 lutego 2022 r., o ile został wpisany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listę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podstawie decyzji w sprawie wpisu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listę rozstrzygającej o zastosowaniu środka, o którym mowa w art. 1 pkt 3.</w:t>
      </w:r>
    </w:p>
    <w:p w14:paraId="0EB6F26C"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 xml:space="preserve">2. Wykluczenie następuje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okres trwania okoliczności określonych w ust. 1.</w:t>
      </w:r>
    </w:p>
    <w:p w14:paraId="1B7EC4EC"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 xml:space="preserve">3. W przypadku wykonawcy lub uczestnika konkursu wykluczonego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955413D"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 xml:space="preserve">4. Kontrola udzielania zamówień publicznych w </w:t>
      </w:r>
      <w:r w:rsidRPr="00A86EED">
        <w:rPr>
          <w:rFonts w:ascii="Times New Roman" w:eastAsiaTheme="minorHAnsi" w:hAnsi="Times New Roman" w:cs="Times New Roman"/>
          <w:i/>
          <w:color w:val="000000"/>
        </w:rPr>
        <w:t>zakresie</w:t>
      </w:r>
      <w:r w:rsidRPr="00A86EED">
        <w:rPr>
          <w:rFonts w:ascii="Times New Roman" w:eastAsiaTheme="minorHAnsi" w:hAnsi="Times New Roman" w:cs="Times New Roman"/>
          <w:color w:val="000000"/>
        </w:rPr>
        <w:t xml:space="preserve"> zgodności z ust. 1 jest wykonywana zgodnie z </w:t>
      </w:r>
      <w:hyperlink r:id="rId17" w:anchor="/document/18903829?unitId=art(596)&amp;cm=DOCUMENT" w:tooltip="https://sip.lex.pl/#/document/18903829?unitId=art(596)&amp;cm=DOCUMENT" w:history="1">
        <w:r w:rsidRPr="00A86EED">
          <w:rPr>
            <w:rStyle w:val="Hipercze"/>
            <w:rFonts w:ascii="Times New Roman" w:eastAsiaTheme="minorHAnsi" w:hAnsi="Times New Roman" w:cs="Times New Roman"/>
            <w:color w:val="0066CC"/>
          </w:rPr>
          <w:t>art. 596</w:t>
        </w:r>
      </w:hyperlink>
      <w:r w:rsidRPr="00A86EED">
        <w:rPr>
          <w:rFonts w:ascii="Times New Roman" w:eastAsiaTheme="minorHAnsi" w:hAnsi="Times New Roman" w:cs="Times New Roman"/>
          <w:color w:val="000000"/>
        </w:rPr>
        <w:t xml:space="preserve"> ustawy z dnia 11 września 2019 r. - Prawo zamówień publicznych.</w:t>
      </w:r>
    </w:p>
    <w:p w14:paraId="06B4A126"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5A96D611"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 xml:space="preserve">6. Osoba lub podmiot podlegające wykluczeniu </w:t>
      </w:r>
      <w:r w:rsidRPr="00A86EED">
        <w:rPr>
          <w:rFonts w:ascii="Times New Roman" w:eastAsiaTheme="minorHAnsi" w:hAnsi="Times New Roman" w:cs="Times New Roman"/>
          <w:i/>
          <w:color w:val="000000"/>
        </w:rPr>
        <w:t>na</w:t>
      </w:r>
      <w:r w:rsidRPr="00A86EED">
        <w:rPr>
          <w:rFonts w:ascii="Times New Roman" w:eastAsiaTheme="minorHAnsi" w:hAnsi="Times New Roman" w:cs="Times New Roman"/>
          <w:color w:val="000000"/>
        </w:rPr>
        <w:t xml:space="preserve">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679F2AE8"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lastRenderedPageBreak/>
        <w:t>7. Karę pieniężną, o której mowa w ust. 6, nakłada Prezes Urzędu Zamówień Publicznych, w drodze decyzji, w wysokości do 20 000 000 zł.</w:t>
      </w:r>
    </w:p>
    <w:p w14:paraId="603DF33A"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8. Wpływy z kar pieniężnych, o których mowa w ust. 6, stanowią dochód budżetu państwa.</w:t>
      </w:r>
    </w:p>
    <w:p w14:paraId="43A8D5F5" w14:textId="77777777" w:rsidR="001D4C16" w:rsidRPr="00A86EED" w:rsidRDefault="00000000">
      <w:pPr>
        <w:jc w:val="both"/>
        <w:rPr>
          <w:rFonts w:ascii="Times New Roman" w:hAnsi="Times New Roman" w:cs="Times New Roman"/>
        </w:rPr>
      </w:pPr>
      <w:r w:rsidRPr="00A86EED">
        <w:rPr>
          <w:rFonts w:ascii="Times New Roman" w:eastAsiaTheme="minorHAnsi" w:hAnsi="Times New Roman" w:cs="Times New Roman"/>
          <w:color w:val="000000"/>
        </w:rPr>
        <w:t xml:space="preserve">9. Przepisy ust. 1-8 stosuje się do postępowania zmierzającego do udzielenia zamówienia publicznego oraz konkursów o wartości mniejszej niż kwoty określone w </w:t>
      </w:r>
      <w:hyperlink r:id="rId18" w:anchor="/document/18903829?unitId=art(2)ust(1)&amp;cm=DOCUMENT" w:tooltip="https://sip.lex.pl/#/document/18903829?unitId=art(2)ust(1)&amp;cm=DOCUMENT" w:history="1">
        <w:r w:rsidRPr="00A86EED">
          <w:rPr>
            <w:rStyle w:val="Hipercze"/>
            <w:rFonts w:ascii="Times New Roman" w:eastAsiaTheme="minorHAnsi" w:hAnsi="Times New Roman" w:cs="Times New Roman"/>
            <w:color w:val="0066CC"/>
          </w:rPr>
          <w:t>art. 2 ust. 1</w:t>
        </w:r>
      </w:hyperlink>
      <w:r w:rsidRPr="00A86EED">
        <w:rPr>
          <w:rFonts w:ascii="Times New Roman" w:eastAsiaTheme="minorHAnsi" w:hAnsi="Times New Roman" w:cs="Times New Roman"/>
          <w:color w:val="000000"/>
        </w:rPr>
        <w:t xml:space="preserve"> ustawy z dnia 11 września 2019 r. - Prawo zamówień publicznych lub z wyłączeniem stosowania tej ustawy.”</w:t>
      </w:r>
    </w:p>
    <w:p w14:paraId="3F24E255" w14:textId="77777777" w:rsidR="001D4C16" w:rsidRPr="00A86EED" w:rsidRDefault="00000000">
      <w:pPr>
        <w:pStyle w:val="Akapitzlist"/>
        <w:tabs>
          <w:tab w:val="left" w:pos="284"/>
          <w:tab w:val="left" w:pos="567"/>
          <w:tab w:val="left" w:pos="992"/>
        </w:tabs>
        <w:ind w:left="0"/>
        <w:jc w:val="both"/>
        <w:rPr>
          <w:rFonts w:ascii="Times New Roman" w:hAnsi="Times New Roman" w:cs="Times New Roman"/>
          <w:color w:val="000000"/>
        </w:rPr>
      </w:pPr>
      <w:r w:rsidRPr="00A86EED">
        <w:rPr>
          <w:rFonts w:ascii="Times New Roman" w:eastAsiaTheme="minorHAnsi" w:hAnsi="Times New Roman" w:cs="Times New Roman"/>
          <w:color w:val="000000" w:themeColor="text1"/>
        </w:rPr>
        <w:t xml:space="preserve">Oświadczam, że nie jestem osobą lub podmiotem o którym mowa w art. 5k rozporządzenia 833/2014 dotyczącego środków ograniczających w związku z działaniami Rosji destabilizującymi sytuację na Ukrainie (Dz. Urz. UE nr L 111 z 8.4.2022, str. 1), w brzmieniu nadanym rozporządzeniem 2022/576, </w:t>
      </w:r>
      <w:proofErr w:type="spellStart"/>
      <w:r w:rsidRPr="00A86EED">
        <w:rPr>
          <w:rFonts w:ascii="Times New Roman" w:eastAsiaTheme="minorHAnsi" w:hAnsi="Times New Roman" w:cs="Times New Roman"/>
          <w:color w:val="000000" w:themeColor="text1"/>
        </w:rPr>
        <w:t>tj</w:t>
      </w:r>
      <w:proofErr w:type="spellEnd"/>
      <w:r w:rsidRPr="00A86EED">
        <w:rPr>
          <w:rFonts w:ascii="Times New Roman" w:eastAsiaTheme="minorHAnsi" w:hAnsi="Times New Roman" w:cs="Times New Roman"/>
          <w:color w:val="000000" w:themeColor="text1"/>
        </w:rPr>
        <w:t xml:space="preserve"> nie należę do.:</w:t>
      </w:r>
    </w:p>
    <w:p w14:paraId="050BB7EA" w14:textId="77777777" w:rsidR="001D4C16" w:rsidRPr="00A86EED" w:rsidRDefault="00000000">
      <w:pPr>
        <w:pStyle w:val="Akapitzlist"/>
        <w:numPr>
          <w:ilvl w:val="1"/>
          <w:numId w:val="1"/>
        </w:numPr>
        <w:tabs>
          <w:tab w:val="left" w:pos="284"/>
          <w:tab w:val="left" w:pos="567"/>
          <w:tab w:val="left" w:pos="992"/>
        </w:tabs>
        <w:ind w:left="142" w:hanging="142"/>
        <w:jc w:val="both"/>
        <w:rPr>
          <w:rFonts w:ascii="Times New Roman" w:hAnsi="Times New Roman" w:cs="Times New Roman"/>
          <w:color w:val="000000"/>
        </w:rPr>
      </w:pPr>
      <w:r w:rsidRPr="00A86EED">
        <w:rPr>
          <w:rFonts w:ascii="Times New Roman" w:eastAsiaTheme="minorHAnsi" w:hAnsi="Times New Roman" w:cs="Times New Roman"/>
          <w:color w:val="000000" w:themeColor="text1"/>
        </w:rPr>
        <w:t>obywateli rosyjskich lub osób fizycznych lub prawnych, podmiotów lub organów z siedzibą w Rosji;</w:t>
      </w:r>
    </w:p>
    <w:p w14:paraId="2D9B481A" w14:textId="77777777" w:rsidR="001D4C16" w:rsidRPr="00A86EED" w:rsidRDefault="00000000">
      <w:pPr>
        <w:pStyle w:val="Akapitzlist"/>
        <w:numPr>
          <w:ilvl w:val="1"/>
          <w:numId w:val="1"/>
        </w:numPr>
        <w:tabs>
          <w:tab w:val="left" w:pos="284"/>
          <w:tab w:val="left" w:pos="567"/>
          <w:tab w:val="left" w:pos="992"/>
        </w:tabs>
        <w:ind w:left="142" w:hanging="142"/>
        <w:jc w:val="both"/>
        <w:rPr>
          <w:rFonts w:ascii="Times New Roman" w:hAnsi="Times New Roman" w:cs="Times New Roman"/>
          <w:color w:val="000000"/>
        </w:rPr>
      </w:pPr>
      <w:r w:rsidRPr="00A86EED">
        <w:rPr>
          <w:rFonts w:ascii="Times New Roman" w:eastAsiaTheme="minorHAnsi" w:hAnsi="Times New Roman" w:cs="Times New Roman"/>
          <w:color w:val="000000" w:themeColor="text1"/>
        </w:rPr>
        <w:t>osób prawnych, podmiotów lub organów, do których prawa własności bezpośrednio lub pośrednio w ponad 50 % należą do podmiotu, o którym mowa w lit a; lub</w:t>
      </w:r>
    </w:p>
    <w:p w14:paraId="3929DAD9" w14:textId="77777777" w:rsidR="001D4C16" w:rsidRPr="00A86EED" w:rsidRDefault="00000000">
      <w:pPr>
        <w:pStyle w:val="Akapitzlist"/>
        <w:numPr>
          <w:ilvl w:val="1"/>
          <w:numId w:val="1"/>
        </w:numPr>
        <w:tabs>
          <w:tab w:val="left" w:pos="284"/>
          <w:tab w:val="left" w:pos="567"/>
          <w:tab w:val="left" w:pos="992"/>
        </w:tabs>
        <w:ind w:left="142" w:hanging="142"/>
        <w:jc w:val="both"/>
        <w:rPr>
          <w:rFonts w:ascii="Times New Roman" w:hAnsi="Times New Roman" w:cs="Times New Roman"/>
          <w:color w:val="000000"/>
        </w:rPr>
      </w:pPr>
      <w:r w:rsidRPr="00A86EED">
        <w:rPr>
          <w:rFonts w:ascii="Times New Roman" w:eastAsiaTheme="minorHAnsi" w:hAnsi="Times New Roman" w:cs="Times New Roman"/>
          <w:color w:val="000000" w:themeColor="text1"/>
        </w:rPr>
        <w:t>osób fizycznych lub prawnych, podmiotów lub organów działających w imieniu lub pod kierunkiem podmiotu, o którym mowa w lit a lub b,</w:t>
      </w:r>
    </w:p>
    <w:p w14:paraId="15BD82AA" w14:textId="77777777" w:rsidR="001D4C16" w:rsidRPr="00A86EED" w:rsidRDefault="00000000">
      <w:pPr>
        <w:pStyle w:val="Akapitzlist"/>
        <w:tabs>
          <w:tab w:val="left" w:pos="284"/>
          <w:tab w:val="left" w:pos="567"/>
          <w:tab w:val="left" w:pos="992"/>
        </w:tabs>
        <w:ind w:left="142" w:hanging="142"/>
        <w:jc w:val="both"/>
        <w:rPr>
          <w:rFonts w:ascii="Times New Roman" w:hAnsi="Times New Roman" w:cs="Times New Roman"/>
          <w:color w:val="000000"/>
        </w:rPr>
      </w:pPr>
      <w:r w:rsidRPr="00A86EED">
        <w:rPr>
          <w:rFonts w:ascii="Times New Roman" w:eastAsiaTheme="minorHAnsi" w:hAnsi="Times New Roman" w:cs="Times New Roman"/>
          <w:color w:val="000000" w:themeColor="text1"/>
        </w:rPr>
        <w:t>w tym podwykonawców, dostawców lub podmiotów, na których zdolności polega się w rozumieniu dyrektyw w sprawie zamówień publicznych, w przypadku gdy przypada na nich ponad 10% wartości zamówienia.</w:t>
      </w:r>
    </w:p>
    <w:p w14:paraId="224A6058" w14:textId="77777777" w:rsidR="001D4C16" w:rsidRPr="00A86EED" w:rsidRDefault="001D4C16">
      <w:pPr>
        <w:rPr>
          <w:rFonts w:ascii="Times New Roman" w:hAnsi="Times New Roman" w:cs="Times New Roman"/>
        </w:rPr>
      </w:pPr>
    </w:p>
    <w:p w14:paraId="1A5EC65F" w14:textId="77777777" w:rsidR="001D4C16" w:rsidRPr="00A86EED" w:rsidRDefault="00000000">
      <w:pPr>
        <w:rPr>
          <w:rFonts w:ascii="Times New Roman" w:hAnsi="Times New Roman" w:cs="Times New Roman"/>
        </w:rPr>
      </w:pPr>
      <w:r w:rsidRPr="00A86EED">
        <w:rPr>
          <w:rFonts w:ascii="Times New Roman" w:eastAsiaTheme="minorHAnsi" w:hAnsi="Times New Roman" w:cs="Times New Roman"/>
        </w:rPr>
        <w:t>__________________</w:t>
      </w:r>
    </w:p>
    <w:p w14:paraId="40ECD90B" w14:textId="77777777" w:rsidR="001D4C16" w:rsidRPr="00A86EED" w:rsidRDefault="00000000">
      <w:pPr>
        <w:rPr>
          <w:rFonts w:ascii="Times New Roman" w:hAnsi="Times New Roman" w:cs="Times New Roman"/>
        </w:rPr>
      </w:pPr>
      <w:r w:rsidRPr="00A86EED">
        <w:rPr>
          <w:rFonts w:ascii="Times New Roman" w:eastAsiaTheme="minorHAnsi" w:hAnsi="Times New Roman" w:cs="Times New Roman"/>
        </w:rPr>
        <w:t>miejscowość, data</w:t>
      </w:r>
    </w:p>
    <w:p w14:paraId="594F4D1E" w14:textId="77777777" w:rsidR="001D4C16" w:rsidRPr="00A86EED" w:rsidRDefault="00000000">
      <w:pPr>
        <w:jc w:val="right"/>
        <w:rPr>
          <w:rFonts w:ascii="Times New Roman" w:hAnsi="Times New Roman" w:cs="Times New Roman"/>
        </w:rPr>
      </w:pPr>
      <w:r w:rsidRPr="00A86EED">
        <w:rPr>
          <w:rFonts w:ascii="Times New Roman" w:eastAsiaTheme="minorHAnsi" w:hAnsi="Times New Roman" w:cs="Times New Roman"/>
        </w:rPr>
        <w:t>_________________________________</w:t>
      </w:r>
    </w:p>
    <w:p w14:paraId="524E54BC" w14:textId="77777777" w:rsidR="001D4C16" w:rsidRPr="00A86EED" w:rsidRDefault="00000000">
      <w:pPr>
        <w:ind w:firstLine="696"/>
        <w:jc w:val="right"/>
        <w:rPr>
          <w:rFonts w:ascii="Times New Roman" w:hAnsi="Times New Roman" w:cs="Times New Roman"/>
        </w:rPr>
      </w:pPr>
      <w:r w:rsidRPr="00A86EED">
        <w:rPr>
          <w:rFonts w:ascii="Times New Roman" w:eastAsiaTheme="minorHAnsi" w:hAnsi="Times New Roman" w:cs="Times New Roman"/>
        </w:rPr>
        <w:t>podpis i pieczątka upoważnionego/  upoważnionych</w:t>
      </w:r>
    </w:p>
    <w:p w14:paraId="22158C29" w14:textId="77777777" w:rsidR="001D4C16" w:rsidRPr="00A86EED" w:rsidRDefault="00000000">
      <w:pPr>
        <w:ind w:firstLine="696"/>
        <w:jc w:val="right"/>
        <w:rPr>
          <w:rFonts w:ascii="Times New Roman" w:hAnsi="Times New Roman" w:cs="Times New Roman"/>
        </w:rPr>
      </w:pPr>
      <w:r w:rsidRPr="00A86EED">
        <w:rPr>
          <w:rFonts w:ascii="Times New Roman" w:eastAsiaTheme="minorHAnsi" w:hAnsi="Times New Roman" w:cs="Times New Roman"/>
        </w:rPr>
        <w:t xml:space="preserve"> przedstawiciela / przedstawicieli wykonawcy</w:t>
      </w:r>
    </w:p>
    <w:p w14:paraId="2FAECEE5" w14:textId="77777777" w:rsidR="001D4C16" w:rsidRDefault="001D4C16">
      <w:pPr>
        <w:jc w:val="center"/>
        <w:rPr>
          <w:rFonts w:ascii="Times New Roman" w:hAnsi="Times New Roman" w:cs="Times New Roman"/>
        </w:rPr>
      </w:pPr>
    </w:p>
    <w:sectPr w:rsidR="001D4C16">
      <w:headerReference w:type="default" r:id="rId19"/>
      <w:footerReference w:type="default" r:id="rId20"/>
      <w:headerReference w:type="first" r:id="rId21"/>
      <w:footerReference w:type="first" r:id="rId22"/>
      <w:pgSz w:w="11906" w:h="16838"/>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B41A" w14:textId="77777777" w:rsidR="00665AB3" w:rsidRDefault="00665AB3">
      <w:r>
        <w:separator/>
      </w:r>
    </w:p>
  </w:endnote>
  <w:endnote w:type="continuationSeparator" w:id="0">
    <w:p w14:paraId="10E2D9E1" w14:textId="77777777" w:rsidR="00665AB3" w:rsidRDefault="0066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B48D" w14:textId="77777777" w:rsidR="001D4C16" w:rsidRDefault="00000000">
    <w:pPr>
      <w:pStyle w:val="Stopka1"/>
      <w:rPr>
        <w:lang w:eastAsia="pl-PL"/>
      </w:rPr>
    </w:pPr>
    <w:r>
      <w:rPr>
        <w:noProof/>
        <w:lang w:eastAsia="pl-PL"/>
      </w:rPr>
      <mc:AlternateContent>
        <mc:Choice Requires="wpg">
          <w:drawing>
            <wp:anchor distT="0" distB="0" distL="114935" distR="114935" simplePos="0" relativeHeight="251658240" behindDoc="1" locked="0" layoutInCell="1" allowOverlap="1" wp14:anchorId="169364CA" wp14:editId="2F8E66A3">
              <wp:simplePos x="0" y="0"/>
              <wp:positionH relativeFrom="page">
                <wp:align>center</wp:align>
              </wp:positionH>
              <wp:positionV relativeFrom="page">
                <wp:posOffset>9973310</wp:posOffset>
              </wp:positionV>
              <wp:extent cx="7023735" cy="194310"/>
              <wp:effectExtent l="0" t="0" r="0" b="0"/>
              <wp:wrapNone/>
              <wp:docPr id="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pic:cNvPicPr>
                    </pic:nvPicPr>
                    <pic:blipFill>
                      <a:blip r:embed="rId1"/>
                      <a:stretch/>
                    </pic:blipFill>
                    <pic:spPr bwMode="auto">
                      <a:xfrm>
                        <a:off x="0" y="0"/>
                        <a:ext cx="7023735" cy="19431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page;mso-position-horizontal:center;mso-position-vertical-relative:page;margin-top:785.3pt;mso-position-vertical:absolute;width:553.0pt;height:15.3pt;" stroked="false">
              <v:path textboxrect="0,0,0,0"/>
              <v:imagedata r:id="rId2" o:titl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4D20" w14:textId="77777777" w:rsidR="001D4C16" w:rsidRDefault="00000000">
    <w:pPr>
      <w:pStyle w:val="Stopka1"/>
      <w:rPr>
        <w:lang w:eastAsia="pl-PL"/>
      </w:rPr>
    </w:pPr>
    <w:r>
      <w:rPr>
        <w:noProof/>
        <w:lang w:eastAsia="pl-PL"/>
      </w:rPr>
      <mc:AlternateContent>
        <mc:Choice Requires="wpg">
          <w:drawing>
            <wp:anchor distT="0" distB="0" distL="114935" distR="114935" simplePos="0" relativeHeight="2" behindDoc="1" locked="0" layoutInCell="1" allowOverlap="1" wp14:anchorId="07E061A7" wp14:editId="460EF93E">
              <wp:simplePos x="0" y="0"/>
              <wp:positionH relativeFrom="page">
                <wp:align>center</wp:align>
              </wp:positionH>
              <wp:positionV relativeFrom="page">
                <wp:posOffset>9973310</wp:posOffset>
              </wp:positionV>
              <wp:extent cx="7023735" cy="194310"/>
              <wp:effectExtent l="0" t="0" r="0" b="0"/>
              <wp:wrapNone/>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pic:cNvPicPr>
                    </pic:nvPicPr>
                    <pic:blipFill>
                      <a:blip r:embed="rId1"/>
                      <a:srcRect l="-5" t="-187" r="-4" b="-186"/>
                      <a:stretch/>
                    </pic:blipFill>
                    <pic:spPr bwMode="auto">
                      <a:xfrm>
                        <a:off x="0" y="0"/>
                        <a:ext cx="7023735" cy="19431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o:allowoverlap:true;o:allowincell:true;mso-position-horizontal-relative:page;mso-position-horizontal:center;mso-position-vertical-relative:page;margin-top:785.3pt;mso-position-vertical:absolute;width:553.0pt;height:15.3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6B27" w14:textId="77777777" w:rsidR="00665AB3" w:rsidRDefault="00665AB3">
      <w:r>
        <w:separator/>
      </w:r>
    </w:p>
  </w:footnote>
  <w:footnote w:type="continuationSeparator" w:id="0">
    <w:p w14:paraId="1749BEFC" w14:textId="77777777" w:rsidR="00665AB3" w:rsidRDefault="0066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66B9" w14:textId="77777777" w:rsidR="001D4C16" w:rsidRDefault="001D4C16">
    <w:pPr>
      <w:pStyle w:val="Nagwek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7F57" w14:textId="77777777" w:rsidR="001D4C16" w:rsidRDefault="00000000">
    <w:pPr>
      <w:pStyle w:val="Nagwek10"/>
      <w:rPr>
        <w:lang w:eastAsia="pl-PL"/>
      </w:rPr>
    </w:pPr>
    <w:r>
      <w:rPr>
        <w:noProof/>
        <w:lang w:eastAsia="pl-PL"/>
      </w:rPr>
      <mc:AlternateContent>
        <mc:Choice Requires="wpg">
          <w:drawing>
            <wp:anchor distT="0" distB="0" distL="114935" distR="114935" simplePos="0" relativeHeight="3" behindDoc="1" locked="0" layoutInCell="1" allowOverlap="1" wp14:anchorId="0504391C" wp14:editId="0E0F9C00">
              <wp:simplePos x="0" y="0"/>
              <wp:positionH relativeFrom="page">
                <wp:align>center</wp:align>
              </wp:positionH>
              <wp:positionV relativeFrom="page">
                <wp:posOffset>252095</wp:posOffset>
              </wp:positionV>
              <wp:extent cx="7019925" cy="752475"/>
              <wp:effectExtent l="0" t="0" r="0" b="0"/>
              <wp:wrapNone/>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pic:cNvPicPr>
                    </pic:nvPicPr>
                    <pic:blipFill>
                      <a:blip r:embed="rId1"/>
                      <a:srcRect l="-5" t="-47" r="-4" b="-46"/>
                      <a:stretch/>
                    </pic:blipFill>
                    <pic:spPr bwMode="auto">
                      <a:xfrm>
                        <a:off x="0" y="0"/>
                        <a:ext cx="7019925" cy="75247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3;o:allowoverlap:true;o:allowincell:true;mso-position-horizontal-relative:page;mso-position-horizontal:center;mso-position-vertical-relative:page;margin-top:19.8pt;mso-position-vertical:absolute;width:552.8pt;height:59.2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74509"/>
    <w:multiLevelType w:val="hybridMultilevel"/>
    <w:tmpl w:val="3E6C36D2"/>
    <w:lvl w:ilvl="0" w:tplc="874AAC12">
      <w:start w:val="1"/>
      <w:numFmt w:val="decimal"/>
      <w:lvlText w:val="%1)"/>
      <w:lvlJc w:val="left"/>
      <w:pPr>
        <w:ind w:left="720" w:hanging="360"/>
      </w:pPr>
    </w:lvl>
    <w:lvl w:ilvl="1" w:tplc="ACF253E4">
      <w:start w:val="1"/>
      <w:numFmt w:val="lowerLetter"/>
      <w:lvlText w:val="%2."/>
      <w:lvlJc w:val="left"/>
      <w:pPr>
        <w:ind w:left="1440" w:hanging="360"/>
      </w:pPr>
    </w:lvl>
    <w:lvl w:ilvl="2" w:tplc="BAE67B9C">
      <w:start w:val="1"/>
      <w:numFmt w:val="lowerRoman"/>
      <w:lvlText w:val="%3."/>
      <w:lvlJc w:val="right"/>
      <w:pPr>
        <w:ind w:left="2160" w:hanging="180"/>
      </w:pPr>
    </w:lvl>
    <w:lvl w:ilvl="3" w:tplc="8890A170">
      <w:start w:val="1"/>
      <w:numFmt w:val="decimal"/>
      <w:lvlText w:val="%4."/>
      <w:lvlJc w:val="left"/>
      <w:pPr>
        <w:ind w:left="2880" w:hanging="360"/>
      </w:pPr>
    </w:lvl>
    <w:lvl w:ilvl="4" w:tplc="E1EA7CA0">
      <w:start w:val="1"/>
      <w:numFmt w:val="lowerLetter"/>
      <w:lvlText w:val="%5."/>
      <w:lvlJc w:val="left"/>
      <w:pPr>
        <w:ind w:left="3600" w:hanging="360"/>
      </w:pPr>
    </w:lvl>
    <w:lvl w:ilvl="5" w:tplc="9796FD16">
      <w:start w:val="1"/>
      <w:numFmt w:val="lowerRoman"/>
      <w:lvlText w:val="%6."/>
      <w:lvlJc w:val="right"/>
      <w:pPr>
        <w:ind w:left="4320" w:hanging="180"/>
      </w:pPr>
    </w:lvl>
    <w:lvl w:ilvl="6" w:tplc="CC8E0DA2">
      <w:start w:val="1"/>
      <w:numFmt w:val="decimal"/>
      <w:lvlText w:val="%7."/>
      <w:lvlJc w:val="left"/>
      <w:pPr>
        <w:ind w:left="5040" w:hanging="360"/>
      </w:pPr>
    </w:lvl>
    <w:lvl w:ilvl="7" w:tplc="7FDA3A4C">
      <w:start w:val="1"/>
      <w:numFmt w:val="lowerLetter"/>
      <w:lvlText w:val="%8."/>
      <w:lvlJc w:val="left"/>
      <w:pPr>
        <w:ind w:left="5760" w:hanging="360"/>
      </w:pPr>
    </w:lvl>
    <w:lvl w:ilvl="8" w:tplc="FED0274C">
      <w:start w:val="1"/>
      <w:numFmt w:val="lowerRoman"/>
      <w:lvlText w:val="%9."/>
      <w:lvlJc w:val="right"/>
      <w:pPr>
        <w:ind w:left="6480" w:hanging="180"/>
      </w:pPr>
    </w:lvl>
  </w:abstractNum>
  <w:num w:numId="1" w16cid:durableId="161710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16"/>
    <w:rsid w:val="001D4C16"/>
    <w:rsid w:val="00665AB3"/>
    <w:rsid w:val="00A8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7EDE"/>
  <w15:docId w15:val="{E853DFDB-F45D-4094-BCBA-9DD8CFC7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Times New Roman" w:hAnsi="Arial" w:cs="Arial"/>
      <w:lang w:bidi="ar-SA"/>
    </w:rPr>
  </w:style>
  <w:style w:type="paragraph" w:styleId="Nagwek1">
    <w:name w:val="heading 1"/>
    <w:basedOn w:val="Normalny"/>
    <w:next w:val="Normalny"/>
    <w:link w:val="Nagwek1Znak"/>
    <w:uiPriority w:val="9"/>
    <w:qFormat/>
    <w:pPr>
      <w:keepNext/>
      <w:keepLines/>
      <w:spacing w:before="480" w:after="200"/>
      <w:outlineLvl w:val="0"/>
    </w:pPr>
    <w:rPr>
      <w:rFonts w:eastAsia="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eastAsia="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eastAsia="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eastAsia="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eastAsia="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eastAsia="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eastAsia="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eastAsia="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eastAsia="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pPr>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F81BD" w:themeColor="accent1"/>
      <w:sz w:val="18"/>
      <w:szCs w:val="18"/>
    </w:rPr>
  </w:style>
  <w:style w:type="character" w:customStyle="1" w:styleId="StopkaZnak">
    <w:name w:val="Stopka Znak"/>
    <w:link w:val="Stopka"/>
    <w:uiPriority w:val="99"/>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Pr>
      <w:color w:val="404040"/>
      <w:sz w:val="20"/>
      <w:szCs w:val="20"/>
      <w:lang w:eastAsia="pl-PL"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Pr>
      <w:color w:val="404040"/>
      <w:sz w:val="20"/>
      <w:szCs w:val="20"/>
      <w:lang w:eastAsia="pl-PL"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Standardowy"/>
    <w:uiPriority w:val="99"/>
    <w:rPr>
      <w:color w:val="404040"/>
      <w:sz w:val="20"/>
      <w:szCs w:val="20"/>
      <w:lang w:eastAsia="pl-PL"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Standardowy"/>
    <w:uiPriority w:val="99"/>
    <w:rPr>
      <w:color w:val="404040"/>
      <w:sz w:val="20"/>
      <w:szCs w:val="20"/>
      <w:lang w:eastAsia="pl-PL"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Standardowy"/>
    <w:uiPriority w:val="99"/>
    <w:rPr>
      <w:color w:val="404040"/>
      <w:sz w:val="20"/>
      <w:szCs w:val="20"/>
      <w:lang w:eastAsia="pl-PL"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Standardowy"/>
    <w:uiPriority w:val="99"/>
    <w:rPr>
      <w:color w:val="404040"/>
      <w:sz w:val="20"/>
      <w:szCs w:val="20"/>
      <w:lang w:eastAsia="pl-PL"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Standardowy"/>
    <w:uiPriority w:val="99"/>
    <w:rPr>
      <w:color w:val="404040"/>
      <w:sz w:val="20"/>
      <w:szCs w:val="20"/>
      <w:lang w:eastAsia="pl-PL"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Standardowy"/>
    <w:uiPriority w:val="99"/>
    <w:rPr>
      <w:color w:val="404040"/>
      <w:sz w:val="20"/>
      <w:szCs w:val="20"/>
      <w:lang w:eastAsia="pl-PL"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Pr>
      <w:color w:val="404040"/>
      <w:sz w:val="20"/>
      <w:szCs w:val="20"/>
      <w:lang w:eastAsia="pl-PL"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Standardowy"/>
    <w:uiPriority w:val="99"/>
    <w:rPr>
      <w:color w:val="404040"/>
      <w:sz w:val="20"/>
      <w:szCs w:val="20"/>
      <w:lang w:eastAsia="pl-PL"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Standardowy"/>
    <w:uiPriority w:val="99"/>
    <w:rPr>
      <w:color w:val="404040"/>
      <w:sz w:val="20"/>
      <w:szCs w:val="20"/>
      <w:lang w:eastAsia="pl-PL"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Standardowy"/>
    <w:uiPriority w:val="99"/>
    <w:rPr>
      <w:color w:val="404040"/>
      <w:sz w:val="20"/>
      <w:szCs w:val="20"/>
      <w:lang w:eastAsia="pl-PL"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Standardowy"/>
    <w:uiPriority w:val="99"/>
    <w:rPr>
      <w:color w:val="404040"/>
      <w:sz w:val="20"/>
      <w:szCs w:val="20"/>
      <w:lang w:eastAsia="pl-PL"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Standardowy"/>
    <w:uiPriority w:val="99"/>
    <w:rPr>
      <w:color w:val="404040"/>
      <w:sz w:val="20"/>
      <w:szCs w:val="20"/>
      <w:lang w:eastAsia="pl-PL"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Pr>
      <w:color w:val="0000FF"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styleId="Nagwek">
    <w:name w:val="header"/>
    <w:basedOn w:val="Normalny"/>
    <w:next w:val="Tekstpodstawowy"/>
    <w:link w:val="NagwekZnak"/>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customStyle="1" w:styleId="Legenda1">
    <w:name w:val="Legenda1"/>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pPr>
      <w:tabs>
        <w:tab w:val="center" w:pos="4536"/>
        <w:tab w:val="right" w:pos="9072"/>
      </w:tabs>
    </w:pPr>
  </w:style>
  <w:style w:type="paragraph" w:customStyle="1" w:styleId="Stopka1">
    <w:name w:val="Stopka1"/>
    <w:basedOn w:val="Normalny"/>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Arial"/>
        <a:cs typeface="Arial"/>
      </a:majorFont>
      <a:minorFont>
        <a:latin typeface="Calibri"/>
        <a:ea typeface="Arial"/>
        <a:cs typeface="Arial"/>
      </a:minorFont>
    </a:fontScheme>
    <a:fmtScheme name="Pakiet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5661</Characters>
  <Application>Microsoft Office Word</Application>
  <DocSecurity>0</DocSecurity>
  <Lines>47</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Eunika Jędrzejewska-Pietrzyk</dc:creator>
  <cp:lastModifiedBy>Piotr Piątak</cp:lastModifiedBy>
  <cp:revision>8</cp:revision>
  <dcterms:created xsi:type="dcterms:W3CDTF">2021-07-20T13:38:00Z</dcterms:created>
  <dcterms:modified xsi:type="dcterms:W3CDTF">2023-01-14T18:35:00Z</dcterms:modified>
  <dc:language>pl-PL</dc:language>
</cp:coreProperties>
</file>